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D56C" w14:textId="1F60370C" w:rsidR="00034CE2" w:rsidRPr="00060D26" w:rsidRDefault="00EB3A7C">
      <w:r>
        <w:t>frist for innspill 19.</w:t>
      </w:r>
      <w:r w:rsidR="002C7F83">
        <w:t>5.22</w:t>
      </w:r>
      <w:r>
        <w:t xml:space="preserve"> </w:t>
      </w:r>
      <w:proofErr w:type="spellStart"/>
      <w:r>
        <w:t>kl</w:t>
      </w:r>
      <w:proofErr w:type="spellEnd"/>
      <w:r>
        <w:t xml:space="preserve"> 12.00</w:t>
      </w:r>
    </w:p>
    <w:p w14:paraId="581843AF" w14:textId="4595664F" w:rsidR="00EB3A7C" w:rsidRDefault="005737D6" w:rsidP="00967F06">
      <w:pPr>
        <w:pStyle w:val="Overskrift2"/>
      </w:pPr>
      <w:r>
        <w:t xml:space="preserve">Innspill til </w:t>
      </w:r>
      <w:proofErr w:type="spellStart"/>
      <w:r w:rsidR="00967F06" w:rsidRPr="00967F06">
        <w:t>Prop</w:t>
      </w:r>
      <w:proofErr w:type="spellEnd"/>
      <w:r w:rsidR="00967F06" w:rsidRPr="00967F06">
        <w:t>. 115 S</w:t>
      </w:r>
      <w:r w:rsidR="00967F06">
        <w:t xml:space="preserve"> </w:t>
      </w:r>
      <w:r w:rsidR="00967F06" w:rsidRPr="00967F06">
        <w:t>(2021 –2022</w:t>
      </w:r>
      <w:r w:rsidR="00967F06">
        <w:t>) fra FFA:</w:t>
      </w:r>
    </w:p>
    <w:p w14:paraId="25338D0D" w14:textId="0371CC0B" w:rsidR="00967F06" w:rsidRPr="00967F06" w:rsidRDefault="00967F06" w:rsidP="00967F06">
      <w:pPr>
        <w:pStyle w:val="Overskrift2"/>
      </w:pPr>
      <w:r w:rsidRPr="00967F06">
        <w:t>Forskning for omstilling må ikke settes på vent – det har ikke Norge tid eller råd til</w:t>
      </w:r>
    </w:p>
    <w:p w14:paraId="2CAD2E07" w14:textId="77777777" w:rsidR="0030767E" w:rsidRDefault="0030767E" w:rsidP="0030767E">
      <w:pPr>
        <w:pBdr>
          <w:top w:val="single" w:sz="4" w:space="1" w:color="auto"/>
        </w:pBdr>
        <w:rPr>
          <w:rFonts w:cstheme="minorHAnsi"/>
          <w:sz w:val="18"/>
          <w:szCs w:val="18"/>
        </w:rPr>
      </w:pPr>
      <w:r w:rsidRPr="001D617C">
        <w:rPr>
          <w:rFonts w:cstheme="minorHAnsi"/>
          <w:i/>
          <w:iCs/>
          <w:sz w:val="18"/>
          <w:szCs w:val="18"/>
        </w:rPr>
        <w:t>Forskningsinstituttenes Fellesarena organiserer de 3</w:t>
      </w:r>
      <w:r>
        <w:rPr>
          <w:rFonts w:cstheme="minorHAnsi"/>
          <w:i/>
          <w:iCs/>
          <w:sz w:val="18"/>
          <w:szCs w:val="18"/>
        </w:rPr>
        <w:t>2</w:t>
      </w:r>
      <w:r w:rsidRPr="001D617C">
        <w:rPr>
          <w:rFonts w:cstheme="minorHAnsi"/>
          <w:i/>
          <w:iCs/>
          <w:sz w:val="18"/>
          <w:szCs w:val="18"/>
        </w:rPr>
        <w:t xml:space="preserve"> selvstendige forskningsinstituttene som fyller kriteriene for </w:t>
      </w:r>
      <w:r>
        <w:rPr>
          <w:rFonts w:cstheme="minorHAnsi"/>
          <w:i/>
          <w:iCs/>
          <w:sz w:val="18"/>
          <w:szCs w:val="18"/>
        </w:rPr>
        <w:t>grunnfinansiering</w:t>
      </w:r>
      <w:r w:rsidRPr="001D617C">
        <w:rPr>
          <w:rFonts w:cstheme="minorHAnsi"/>
          <w:i/>
          <w:iCs/>
          <w:sz w:val="18"/>
          <w:szCs w:val="18"/>
        </w:rPr>
        <w:t xml:space="preserve"> fra Forskningsrådet, til sammen 6500 årsverk og 10,2 </w:t>
      </w:r>
      <w:proofErr w:type="spellStart"/>
      <w:r w:rsidRPr="001D617C">
        <w:rPr>
          <w:rFonts w:cstheme="minorHAnsi"/>
          <w:i/>
          <w:iCs/>
          <w:sz w:val="18"/>
          <w:szCs w:val="18"/>
        </w:rPr>
        <w:t>mrd</w:t>
      </w:r>
      <w:proofErr w:type="spellEnd"/>
      <w:r w:rsidRPr="001D617C">
        <w:rPr>
          <w:rFonts w:cstheme="minorHAnsi"/>
          <w:i/>
          <w:iCs/>
          <w:sz w:val="18"/>
          <w:szCs w:val="18"/>
        </w:rPr>
        <w:t xml:space="preserve"> kr i årlig omsetning, derav 1,2 </w:t>
      </w:r>
      <w:proofErr w:type="spellStart"/>
      <w:r w:rsidRPr="001D617C">
        <w:rPr>
          <w:rFonts w:cstheme="minorHAnsi"/>
          <w:i/>
          <w:iCs/>
          <w:sz w:val="18"/>
          <w:szCs w:val="18"/>
        </w:rPr>
        <w:t>mrd</w:t>
      </w:r>
      <w:proofErr w:type="spellEnd"/>
      <w:r w:rsidRPr="001D617C">
        <w:rPr>
          <w:rFonts w:cstheme="minorHAnsi"/>
          <w:i/>
          <w:iCs/>
          <w:sz w:val="18"/>
          <w:szCs w:val="18"/>
        </w:rPr>
        <w:t xml:space="preserve"> kr fra utlandet. Norge har i sin instituttsektor et velfungerende apparat for anvendt, tverrfaglig og målrettet forskning. </w:t>
      </w:r>
      <w:r>
        <w:rPr>
          <w:rFonts w:cstheme="minorHAnsi"/>
          <w:i/>
          <w:iCs/>
          <w:sz w:val="18"/>
          <w:szCs w:val="18"/>
        </w:rPr>
        <w:t>F</w:t>
      </w:r>
      <w:r w:rsidRPr="001D617C">
        <w:rPr>
          <w:rFonts w:cstheme="minorHAnsi"/>
          <w:i/>
          <w:iCs/>
          <w:sz w:val="18"/>
          <w:szCs w:val="18"/>
        </w:rPr>
        <w:t xml:space="preserve">orskningen er innrettet mot de store samfunnsutfordringene og bidrar til konkurransekraft, innovasjonsevne og omstilling i næringsliv og offentlig sektor. Forskningsinstituttene er sentrale forsknings- og innovasjonspartnere for bedriftene og fungerer som akseleratorer for omstilling i samfunnet. Instituttene bygger en bro mellom grunnleggende forskning og private og offentlige virksomheters behov for ny kunnskap og nye løsninger. </w:t>
      </w:r>
      <w:r w:rsidRPr="001D617C">
        <w:rPr>
          <w:rFonts w:cstheme="minorHAnsi"/>
          <w:sz w:val="18"/>
          <w:szCs w:val="18"/>
        </w:rPr>
        <w:t xml:space="preserve"> </w:t>
      </w:r>
    </w:p>
    <w:p w14:paraId="0ACB9F88" w14:textId="77777777" w:rsidR="0030767E" w:rsidRDefault="0030767E" w:rsidP="0030767E">
      <w:pPr>
        <w:pBdr>
          <w:top w:val="single" w:sz="4" w:space="1" w:color="auto"/>
        </w:pBdr>
        <w:rPr>
          <w:rFonts w:cstheme="minorHAnsi"/>
          <w:sz w:val="18"/>
          <w:szCs w:val="18"/>
        </w:rPr>
      </w:pPr>
    </w:p>
    <w:p w14:paraId="6C704160" w14:textId="64D69EE4" w:rsidR="00865C49" w:rsidRPr="004F3C76" w:rsidRDefault="00865C49" w:rsidP="004F3C76">
      <w:pPr>
        <w:spacing w:after="0" w:line="240" w:lineRule="auto"/>
        <w:rPr>
          <w:b/>
          <w:bCs/>
        </w:rPr>
      </w:pPr>
      <w:r w:rsidRPr="004F3C76">
        <w:rPr>
          <w:b/>
          <w:bCs/>
        </w:rPr>
        <w:t xml:space="preserve">FFA </w:t>
      </w:r>
      <w:r w:rsidR="00EC2120">
        <w:rPr>
          <w:b/>
          <w:bCs/>
        </w:rPr>
        <w:t>har følgende innspill til</w:t>
      </w:r>
      <w:r w:rsidR="00FD54A6">
        <w:rPr>
          <w:b/>
          <w:bCs/>
        </w:rPr>
        <w:t xml:space="preserve"> Stortingets behandling av</w:t>
      </w:r>
      <w:r w:rsidR="00EC2120">
        <w:rPr>
          <w:b/>
          <w:bCs/>
        </w:rPr>
        <w:t xml:space="preserve"> </w:t>
      </w:r>
      <w:proofErr w:type="spellStart"/>
      <w:r w:rsidR="00FD54A6" w:rsidRPr="00FD54A6">
        <w:rPr>
          <w:b/>
          <w:bCs/>
        </w:rPr>
        <w:t>Prop</w:t>
      </w:r>
      <w:proofErr w:type="spellEnd"/>
      <w:r w:rsidR="00FD54A6" w:rsidRPr="00FD54A6">
        <w:rPr>
          <w:b/>
          <w:bCs/>
        </w:rPr>
        <w:t>. 115 S (2021 –2022)</w:t>
      </w:r>
      <w:r w:rsidRPr="004F3C76">
        <w:rPr>
          <w:b/>
          <w:bCs/>
        </w:rPr>
        <w:t>:</w:t>
      </w:r>
    </w:p>
    <w:p w14:paraId="5E9D6BE4" w14:textId="639668E2" w:rsidR="00615E45" w:rsidRPr="00615E45" w:rsidRDefault="00C028E0" w:rsidP="00615E45">
      <w:pPr>
        <w:pStyle w:val="Listeavsnitt"/>
        <w:numPr>
          <w:ilvl w:val="0"/>
          <w:numId w:val="5"/>
        </w:numPr>
        <w:rPr>
          <w:rFonts w:ascii="Calibri" w:eastAsia="Calibri" w:hAnsi="Calibri" w:cs="Calibri"/>
        </w:rPr>
      </w:pPr>
      <w:r w:rsidRPr="00615E45">
        <w:rPr>
          <w:rFonts w:ascii="Calibri" w:eastAsia="Calibri" w:hAnsi="Calibri" w:cs="Calibri"/>
          <w:u w:val="single"/>
        </w:rPr>
        <w:t xml:space="preserve">Vi </w:t>
      </w:r>
      <w:r w:rsidR="0023228D" w:rsidRPr="00615E45">
        <w:rPr>
          <w:rFonts w:ascii="Calibri" w:eastAsia="Calibri" w:hAnsi="Calibri" w:cs="Calibri"/>
          <w:u w:val="single"/>
        </w:rPr>
        <w:t>a</w:t>
      </w:r>
      <w:r w:rsidR="007263EE" w:rsidRPr="00615E45">
        <w:rPr>
          <w:rFonts w:ascii="Calibri" w:eastAsia="Calibri" w:hAnsi="Calibri" w:cs="Calibri"/>
          <w:u w:val="single"/>
        </w:rPr>
        <w:t>nmoder</w:t>
      </w:r>
      <w:r w:rsidRPr="00615E45">
        <w:rPr>
          <w:rFonts w:ascii="Calibri" w:eastAsia="Calibri" w:hAnsi="Calibri" w:cs="Calibri"/>
          <w:u w:val="single"/>
        </w:rPr>
        <w:t xml:space="preserve"> Stortinget </w:t>
      </w:r>
      <w:r w:rsidR="007263EE" w:rsidRPr="00615E45">
        <w:rPr>
          <w:rFonts w:ascii="Calibri" w:eastAsia="Calibri" w:hAnsi="Calibri" w:cs="Calibri"/>
          <w:u w:val="single"/>
        </w:rPr>
        <w:t>om å gi</w:t>
      </w:r>
      <w:r w:rsidR="00E86828" w:rsidRPr="00615E45">
        <w:rPr>
          <w:rFonts w:ascii="Calibri" w:eastAsia="Calibri" w:hAnsi="Calibri" w:cs="Calibri"/>
          <w:u w:val="single"/>
        </w:rPr>
        <w:t xml:space="preserve"> K</w:t>
      </w:r>
      <w:r w:rsidR="001359C2">
        <w:rPr>
          <w:rFonts w:ascii="Calibri" w:eastAsia="Calibri" w:hAnsi="Calibri" w:cs="Calibri"/>
          <w:u w:val="single"/>
        </w:rPr>
        <w:t>unnskapsdepartementet</w:t>
      </w:r>
      <w:r w:rsidR="00E86828" w:rsidRPr="00615E45">
        <w:rPr>
          <w:rFonts w:ascii="Calibri" w:eastAsia="Calibri" w:hAnsi="Calibri" w:cs="Calibri"/>
          <w:u w:val="single"/>
        </w:rPr>
        <w:t xml:space="preserve"> og Forskningsrådet fullmakt til å kunne omdisponere </w:t>
      </w:r>
      <w:r w:rsidR="00122DBE">
        <w:rPr>
          <w:rFonts w:ascii="Calibri" w:eastAsia="Calibri" w:hAnsi="Calibri" w:cs="Calibri"/>
          <w:u w:val="single"/>
        </w:rPr>
        <w:t xml:space="preserve">midlertidig </w:t>
      </w:r>
      <w:r w:rsidR="00E86828" w:rsidRPr="00615E45">
        <w:rPr>
          <w:rFonts w:ascii="Calibri" w:eastAsia="Calibri" w:hAnsi="Calibri" w:cs="Calibri"/>
          <w:u w:val="single"/>
        </w:rPr>
        <w:t>mellom bevilgninger gitt på ulike poster og kapitler, men slik at forbruket over flere år innen hver post og kapittel er i henhold til Stortingets vedtak</w:t>
      </w:r>
      <w:r w:rsidR="003D7B9F">
        <w:rPr>
          <w:rFonts w:ascii="Calibri" w:eastAsia="Calibri" w:hAnsi="Calibri" w:cs="Calibri"/>
          <w:u w:val="single"/>
        </w:rPr>
        <w:t xml:space="preserve"> og formål</w:t>
      </w:r>
      <w:r w:rsidR="00E86828" w:rsidRPr="00615E45">
        <w:rPr>
          <w:rFonts w:ascii="Calibri" w:eastAsia="Calibri" w:hAnsi="Calibri" w:cs="Calibri"/>
          <w:u w:val="single"/>
        </w:rPr>
        <w:t>.</w:t>
      </w:r>
      <w:r w:rsidR="00D30FE0" w:rsidRPr="00615E45">
        <w:rPr>
          <w:rFonts w:ascii="Calibri" w:eastAsia="Calibri" w:hAnsi="Calibri" w:cs="Calibri"/>
        </w:rPr>
        <w:t xml:space="preserve"> </w:t>
      </w:r>
      <w:r w:rsidRPr="00615E45">
        <w:rPr>
          <w:rFonts w:ascii="Calibri" w:eastAsia="Calibri" w:hAnsi="Calibri" w:cs="Calibri"/>
        </w:rPr>
        <w:t xml:space="preserve">Det er svært viktig for </w:t>
      </w:r>
      <w:r w:rsidR="00D176B5" w:rsidRPr="00615E45">
        <w:rPr>
          <w:rFonts w:ascii="Calibri" w:eastAsia="Calibri" w:hAnsi="Calibri" w:cs="Calibri"/>
        </w:rPr>
        <w:t xml:space="preserve">Norges omstilling </w:t>
      </w:r>
      <w:r w:rsidR="00741E9B" w:rsidRPr="00615E45">
        <w:rPr>
          <w:rFonts w:ascii="Calibri" w:eastAsia="Calibri" w:hAnsi="Calibri" w:cs="Calibri"/>
        </w:rPr>
        <w:t>at forskningsmiljøenes utvikling av ny kunnskap og nye løsninger ikke stopper opp</w:t>
      </w:r>
      <w:r w:rsidR="00EE5F5E" w:rsidRPr="00615E45">
        <w:rPr>
          <w:rFonts w:ascii="Calibri" w:eastAsia="Calibri" w:hAnsi="Calibri" w:cs="Calibri"/>
        </w:rPr>
        <w:t xml:space="preserve">. </w:t>
      </w:r>
      <w:r w:rsidR="00884F90">
        <w:rPr>
          <w:rFonts w:ascii="Calibri" w:eastAsia="Calibri" w:hAnsi="Calibri" w:cs="Calibri"/>
        </w:rPr>
        <w:t>B</w:t>
      </w:r>
      <w:r w:rsidR="00615E45" w:rsidRPr="00615E45">
        <w:rPr>
          <w:rFonts w:ascii="Calibri" w:eastAsia="Calibri" w:hAnsi="Calibri" w:cs="Calibri"/>
        </w:rPr>
        <w:t>ehov</w:t>
      </w:r>
      <w:r w:rsidR="00884F90">
        <w:rPr>
          <w:rFonts w:ascii="Calibri" w:eastAsia="Calibri" w:hAnsi="Calibri" w:cs="Calibri"/>
        </w:rPr>
        <w:t>et</w:t>
      </w:r>
      <w:r w:rsidR="00615E45" w:rsidRPr="00615E45">
        <w:rPr>
          <w:rFonts w:ascii="Calibri" w:eastAsia="Calibri" w:hAnsi="Calibri" w:cs="Calibri"/>
        </w:rPr>
        <w:t xml:space="preserve"> for opprydding i økonomistyringen hos norske forskningsmyndigheter og faktisk budsjettsituasjon hos Forskningsrådet, må ikke ramme bedrifter, offentlige virksomheter, universiteter og forskningsinstitutter. For å sikre forutsigbarhet og langsiktighet for alle aktører i det norske forskningssystemet</w:t>
      </w:r>
      <w:r w:rsidR="0001712C">
        <w:rPr>
          <w:rFonts w:ascii="Calibri" w:eastAsia="Calibri" w:hAnsi="Calibri" w:cs="Calibri"/>
        </w:rPr>
        <w:t>.</w:t>
      </w:r>
      <w:r w:rsidR="00615E45" w:rsidRPr="00615E45">
        <w:rPr>
          <w:rFonts w:ascii="Calibri" w:eastAsia="Calibri" w:hAnsi="Calibri" w:cs="Calibri"/>
        </w:rPr>
        <w:t xml:space="preserve"> </w:t>
      </w:r>
      <w:r w:rsidR="007454EF">
        <w:rPr>
          <w:rFonts w:ascii="Calibri" w:eastAsia="Calibri" w:hAnsi="Calibri" w:cs="Calibri"/>
        </w:rPr>
        <w:t>må</w:t>
      </w:r>
      <w:r w:rsidR="00615E45" w:rsidRPr="00615E45">
        <w:rPr>
          <w:rFonts w:ascii="Calibri" w:eastAsia="Calibri" w:hAnsi="Calibri" w:cs="Calibri"/>
        </w:rPr>
        <w:t xml:space="preserve"> tildeling av forskningsmidler forts</w:t>
      </w:r>
      <w:r w:rsidR="00C94C23">
        <w:rPr>
          <w:rFonts w:ascii="Calibri" w:eastAsia="Calibri" w:hAnsi="Calibri" w:cs="Calibri"/>
        </w:rPr>
        <w:t xml:space="preserve">ette uten opphold mens </w:t>
      </w:r>
      <w:r w:rsidR="00615E45" w:rsidRPr="00615E45">
        <w:rPr>
          <w:rFonts w:ascii="Calibri" w:eastAsia="Calibri" w:hAnsi="Calibri" w:cs="Calibri"/>
        </w:rPr>
        <w:t xml:space="preserve">den økonomiske situasjonen i Forskningsrådet gjennomgås. Investeringer i ny kunnskap, teknologi og løsninger vi trenger </w:t>
      </w:r>
      <w:r w:rsidR="00C94C23">
        <w:rPr>
          <w:rFonts w:ascii="Calibri" w:eastAsia="Calibri" w:hAnsi="Calibri" w:cs="Calibri"/>
        </w:rPr>
        <w:t>for å møte</w:t>
      </w:r>
      <w:r w:rsidR="00615E45" w:rsidRPr="00615E45">
        <w:rPr>
          <w:rFonts w:ascii="Calibri" w:eastAsia="Calibri" w:hAnsi="Calibri" w:cs="Calibri"/>
        </w:rPr>
        <w:t xml:space="preserve"> </w:t>
      </w:r>
      <w:r w:rsidR="000A1ADC">
        <w:rPr>
          <w:rFonts w:ascii="Calibri" w:eastAsia="Calibri" w:hAnsi="Calibri" w:cs="Calibri"/>
        </w:rPr>
        <w:t xml:space="preserve">de </w:t>
      </w:r>
      <w:r w:rsidR="00615E45" w:rsidRPr="00615E45">
        <w:rPr>
          <w:rFonts w:ascii="Calibri" w:eastAsia="Calibri" w:hAnsi="Calibri" w:cs="Calibri"/>
        </w:rPr>
        <w:t xml:space="preserve">store samfunnsutfordringene </w:t>
      </w:r>
      <w:r w:rsidR="000A1ADC">
        <w:rPr>
          <w:rFonts w:ascii="Calibri" w:eastAsia="Calibri" w:hAnsi="Calibri" w:cs="Calibri"/>
        </w:rPr>
        <w:t xml:space="preserve">og realisere det grønne skiftet </w:t>
      </w:r>
      <w:r w:rsidR="00615E45" w:rsidRPr="00615E45">
        <w:rPr>
          <w:rFonts w:ascii="Calibri" w:eastAsia="Calibri" w:hAnsi="Calibri" w:cs="Calibri"/>
        </w:rPr>
        <w:t>må styrkes, ikke svekkes</w:t>
      </w:r>
      <w:r w:rsidR="009335B2">
        <w:rPr>
          <w:rFonts w:ascii="Calibri" w:eastAsia="Calibri" w:hAnsi="Calibri" w:cs="Calibri"/>
        </w:rPr>
        <w:t xml:space="preserve"> på kort eller lang sikt.</w:t>
      </w:r>
    </w:p>
    <w:p w14:paraId="3F5D3B79" w14:textId="77777777" w:rsidR="00C028E0" w:rsidRPr="001A07E8" w:rsidRDefault="00C028E0" w:rsidP="00C028E0">
      <w:pPr>
        <w:pStyle w:val="Listeavsnitt"/>
        <w:ind w:left="360"/>
        <w:rPr>
          <w:rFonts w:eastAsiaTheme="minorEastAsia"/>
        </w:rPr>
      </w:pPr>
    </w:p>
    <w:p w14:paraId="2047F602" w14:textId="1ACFA05D" w:rsidR="00865C49" w:rsidRDefault="00C028E0" w:rsidP="00C028E0">
      <w:pPr>
        <w:pStyle w:val="Listeavsnitt"/>
        <w:numPr>
          <w:ilvl w:val="0"/>
          <w:numId w:val="5"/>
        </w:numPr>
      </w:pPr>
      <w:r>
        <w:rPr>
          <w:u w:val="single"/>
        </w:rPr>
        <w:t xml:space="preserve">Vi </w:t>
      </w:r>
      <w:r w:rsidR="00C94C23">
        <w:rPr>
          <w:u w:val="single"/>
        </w:rPr>
        <w:t>anmoder</w:t>
      </w:r>
      <w:r>
        <w:rPr>
          <w:u w:val="single"/>
        </w:rPr>
        <w:t xml:space="preserve"> Stortinget</w:t>
      </w:r>
      <w:r w:rsidR="00C94C23">
        <w:rPr>
          <w:u w:val="single"/>
        </w:rPr>
        <w:t xml:space="preserve"> om å sikre</w:t>
      </w:r>
      <w:r w:rsidRPr="00C028E0">
        <w:rPr>
          <w:u w:val="single"/>
        </w:rPr>
        <w:t xml:space="preserve"> </w:t>
      </w:r>
      <w:r w:rsidR="0046440C">
        <w:rPr>
          <w:u w:val="single"/>
        </w:rPr>
        <w:t xml:space="preserve">norske forskningsinstitutter </w:t>
      </w:r>
      <w:r w:rsidRPr="00C028E0">
        <w:rPr>
          <w:u w:val="single"/>
        </w:rPr>
        <w:t xml:space="preserve">fortsatt </w:t>
      </w:r>
      <w:r w:rsidR="0046440C">
        <w:rPr>
          <w:u w:val="single"/>
        </w:rPr>
        <w:t xml:space="preserve">mulighet for </w:t>
      </w:r>
      <w:r w:rsidRPr="00C028E0">
        <w:rPr>
          <w:u w:val="single"/>
        </w:rPr>
        <w:t xml:space="preserve">deltakelse i Horisont Europa </w:t>
      </w:r>
      <w:r w:rsidR="0046440C">
        <w:rPr>
          <w:u w:val="single"/>
        </w:rPr>
        <w:t>ved</w:t>
      </w:r>
      <w:r w:rsidRPr="00C028E0">
        <w:rPr>
          <w:u w:val="single"/>
        </w:rPr>
        <w:t xml:space="preserve"> en bevilgning på 200 millioner kroner på Kunnskapsdepartementets budsjett, kap. 285, post 53 Sektoroverskridende og strategiske satsinger.</w:t>
      </w:r>
      <w:r>
        <w:t xml:space="preserve"> </w:t>
      </w:r>
      <w:r w:rsidR="00865C49">
        <w:t xml:space="preserve">Forskningsinstituttene </w:t>
      </w:r>
      <w:r w:rsidR="00E3160C">
        <w:t xml:space="preserve">samarbeider med norske bedrifter og offentlige virksomheter </w:t>
      </w:r>
      <w:r w:rsidR="00D56B8D">
        <w:t xml:space="preserve">for å hente ut mulighetene </w:t>
      </w:r>
      <w:r w:rsidR="00337018">
        <w:t>i det grønne og digitale skiftet</w:t>
      </w:r>
      <w:r w:rsidR="00D56B8D">
        <w:t xml:space="preserve">. </w:t>
      </w:r>
      <w:r w:rsidR="00891E97">
        <w:t xml:space="preserve">Forskningsinstituttene </w:t>
      </w:r>
      <w:r w:rsidR="00865C49">
        <w:t xml:space="preserve">må gis mulighet til </w:t>
      </w:r>
      <w:r w:rsidR="009335B2">
        <w:t xml:space="preserve">kostnadsdekning og dermed </w:t>
      </w:r>
      <w:r w:rsidR="00865C49">
        <w:t>å delta i Horisont Europa og hente hjem Norges kontingent</w:t>
      </w:r>
      <w:r w:rsidR="004B7DBC">
        <w:t xml:space="preserve">, </w:t>
      </w:r>
      <w:r w:rsidR="00865C49">
        <w:t xml:space="preserve">slik en har lykkes godt med hittil. </w:t>
      </w:r>
      <w:r w:rsidR="004B7DBC" w:rsidRPr="004B7DBC">
        <w:t>Hittil har forskningsmiljøene overoppfylt regjeringens mål for retur</w:t>
      </w:r>
      <w:r w:rsidR="00492742">
        <w:t xml:space="preserve"> og har </w:t>
      </w:r>
      <w:r w:rsidR="00EB56B4">
        <w:t>en returandel på</w:t>
      </w:r>
      <w:r w:rsidR="009756F6">
        <w:t xml:space="preserve"> 3,26% av midlene</w:t>
      </w:r>
      <w:r w:rsidR="004B7DBC" w:rsidRPr="004B7DBC">
        <w:t xml:space="preserve"> fra Horisont Europa.</w:t>
      </w:r>
      <w:r w:rsidR="004B7DBC">
        <w:t xml:space="preserve"> </w:t>
      </w:r>
      <w:r w:rsidR="004377D9" w:rsidRPr="004377D9">
        <w:t xml:space="preserve">Uten fortsatt </w:t>
      </w:r>
      <w:r w:rsidR="00492742">
        <w:t>stor aktivitet</w:t>
      </w:r>
      <w:r w:rsidR="004377D9" w:rsidRPr="004377D9">
        <w:t xml:space="preserve"> fra forskningsinstituttene vil </w:t>
      </w:r>
      <w:r w:rsidR="00492742">
        <w:t xml:space="preserve">ikke </w:t>
      </w:r>
      <w:r w:rsidR="004377D9" w:rsidRPr="004377D9">
        <w:t xml:space="preserve">Norge kunne </w:t>
      </w:r>
      <w:r w:rsidR="00EB56B4">
        <w:t xml:space="preserve">fortsette å </w:t>
      </w:r>
      <w:r w:rsidR="004377D9" w:rsidRPr="004377D9">
        <w:t>hente hjem den kontingenten vi allerede har betalt for deltakelse</w:t>
      </w:r>
      <w:r w:rsidR="00EB56B4">
        <w:t>.</w:t>
      </w:r>
      <w:r w:rsidR="004377D9" w:rsidRPr="004377D9">
        <w:t xml:space="preserve"> </w:t>
      </w:r>
      <w:r w:rsidR="001B3197" w:rsidRPr="001B3197">
        <w:t>Avsatt budsjett til den resultatbaserte ordningen RES-EU (tidligere STIM-EU) har ikke fulgt budsjettveksten i det nye rammeprogrammet, og heller ikke tatt høyde for norske institutters økende suksessrate</w:t>
      </w:r>
      <w:r w:rsidR="001B3197">
        <w:t xml:space="preserve">. </w:t>
      </w:r>
      <w:r w:rsidR="00865C49" w:rsidRPr="00477C89">
        <w:t>Den resultatbaserte RES-EU/STIM-EU må følge budsjettveksten i Horisont Europa</w:t>
      </w:r>
      <w:r w:rsidR="00865C49" w:rsidRPr="00DD09A9">
        <w:t>.</w:t>
      </w:r>
      <w:r w:rsidR="00865C49">
        <w:t xml:space="preserve"> </w:t>
      </w:r>
    </w:p>
    <w:p w14:paraId="29C564F2" w14:textId="77777777" w:rsidR="00C028E0" w:rsidRDefault="00C028E0" w:rsidP="00C028E0">
      <w:pPr>
        <w:pStyle w:val="Listeavsnitt"/>
      </w:pPr>
    </w:p>
    <w:p w14:paraId="7D97A6C0" w14:textId="342F2503" w:rsidR="00C028E0" w:rsidRPr="00C028E0" w:rsidRDefault="00C028E0" w:rsidP="00F82DFC">
      <w:pPr>
        <w:pStyle w:val="Listeavsnitt"/>
        <w:numPr>
          <w:ilvl w:val="0"/>
          <w:numId w:val="5"/>
        </w:numPr>
        <w:spacing w:after="0"/>
        <w:rPr>
          <w:b/>
          <w:bCs/>
        </w:rPr>
      </w:pPr>
      <w:r w:rsidRPr="00C028E0">
        <w:rPr>
          <w:u w:val="single"/>
        </w:rPr>
        <w:t xml:space="preserve">Vi ber om at Stortinget sikrer realiseringen av Ocean Space Centre </w:t>
      </w:r>
      <w:r w:rsidR="00AD06B5">
        <w:rPr>
          <w:u w:val="single"/>
        </w:rPr>
        <w:t>og ikke følger</w:t>
      </w:r>
      <w:r w:rsidRPr="00C028E0">
        <w:rPr>
          <w:u w:val="single"/>
        </w:rPr>
        <w:t xml:space="preserve"> regjeringens forslag om å redusere </w:t>
      </w:r>
      <w:bookmarkStart w:id="0" w:name="_Hlk103500758"/>
      <w:r w:rsidRPr="00C028E0">
        <w:rPr>
          <w:u w:val="single"/>
        </w:rPr>
        <w:t xml:space="preserve">Kommunal- og </w:t>
      </w:r>
      <w:proofErr w:type="spellStart"/>
      <w:r w:rsidRPr="00C028E0">
        <w:rPr>
          <w:u w:val="single"/>
        </w:rPr>
        <w:t>distriktsdepartementets</w:t>
      </w:r>
      <w:proofErr w:type="spellEnd"/>
      <w:r w:rsidRPr="00C028E0">
        <w:rPr>
          <w:u w:val="single"/>
        </w:rPr>
        <w:t xml:space="preserve"> budsjett kap. 530, post 31 med 405 mill</w:t>
      </w:r>
      <w:r w:rsidR="0046440C">
        <w:rPr>
          <w:u w:val="single"/>
        </w:rPr>
        <w:t>ioner</w:t>
      </w:r>
      <w:r w:rsidRPr="00C028E0">
        <w:rPr>
          <w:u w:val="single"/>
        </w:rPr>
        <w:t xml:space="preserve"> kr</w:t>
      </w:r>
      <w:r w:rsidR="0046440C">
        <w:rPr>
          <w:u w:val="single"/>
        </w:rPr>
        <w:t>oner</w:t>
      </w:r>
      <w:r w:rsidRPr="00C028E0">
        <w:rPr>
          <w:u w:val="single"/>
        </w:rPr>
        <w:t>.</w:t>
      </w:r>
      <w:bookmarkEnd w:id="0"/>
      <w:r>
        <w:rPr>
          <w:u w:val="single"/>
        </w:rPr>
        <w:t xml:space="preserve"> </w:t>
      </w:r>
      <w:r w:rsidR="00440349" w:rsidRPr="00440349">
        <w:t>Det er kritisk for norsk grønn konkurransekraft og bærekraftig utvikling at etableringen av Ocean Space Centre holder framdrift og ikke utsettes.</w:t>
      </w:r>
      <w:r w:rsidR="0035183E" w:rsidRPr="00C028E0">
        <w:rPr>
          <w:u w:val="single"/>
        </w:rPr>
        <w:t xml:space="preserve"> </w:t>
      </w:r>
    </w:p>
    <w:p w14:paraId="18918583" w14:textId="77777777" w:rsidR="00C028E0" w:rsidRDefault="00C028E0" w:rsidP="00C028E0">
      <w:pPr>
        <w:pStyle w:val="Listeavsnitt"/>
        <w:spacing w:after="0"/>
        <w:ind w:left="360"/>
        <w:rPr>
          <w:b/>
          <w:bCs/>
        </w:rPr>
      </w:pPr>
    </w:p>
    <w:p w14:paraId="05A155CC" w14:textId="77777777" w:rsidR="00FB4F58" w:rsidRDefault="00FB4F58">
      <w:pPr>
        <w:rPr>
          <w:b/>
          <w:bCs/>
        </w:rPr>
      </w:pPr>
      <w:r>
        <w:rPr>
          <w:b/>
          <w:bCs/>
        </w:rPr>
        <w:br w:type="page"/>
      </w:r>
    </w:p>
    <w:p w14:paraId="5AFC6267" w14:textId="10B833A1" w:rsidR="00DF3D39" w:rsidRPr="00C028E0" w:rsidRDefault="00DF3D39" w:rsidP="00C028E0">
      <w:pPr>
        <w:spacing w:after="0"/>
        <w:rPr>
          <w:b/>
          <w:bCs/>
        </w:rPr>
      </w:pPr>
      <w:r w:rsidRPr="00C028E0">
        <w:rPr>
          <w:b/>
          <w:bCs/>
        </w:rPr>
        <w:t>Forskningsrådet</w:t>
      </w:r>
      <w:r w:rsidR="000E5702">
        <w:rPr>
          <w:b/>
          <w:bCs/>
        </w:rPr>
        <w:t xml:space="preserve"> må gis fullmakt til å overføre midler mellom poster </w:t>
      </w:r>
      <w:r w:rsidR="00975A97">
        <w:rPr>
          <w:b/>
          <w:bCs/>
        </w:rPr>
        <w:t>slik at forskningen ikke rammes</w:t>
      </w:r>
    </w:p>
    <w:p w14:paraId="1E6F3ED8" w14:textId="00F53B9B" w:rsidR="00BF0755" w:rsidRPr="00BF0755" w:rsidRDefault="00BF0755" w:rsidP="00F82DFC">
      <w:pPr>
        <w:spacing w:after="0"/>
        <w:rPr>
          <w:i/>
          <w:iCs/>
        </w:rPr>
      </w:pPr>
      <w:r w:rsidRPr="00BF0755">
        <w:rPr>
          <w:i/>
          <w:iCs/>
        </w:rPr>
        <w:t>Kap. 285 Norges forskningsråd Post 53 Sektorovergripende og strategiske satsinger</w:t>
      </w:r>
    </w:p>
    <w:p w14:paraId="249512D8" w14:textId="38C492AC" w:rsidR="00F82DFC" w:rsidRPr="008F2986" w:rsidRDefault="2A9C84AF" w:rsidP="00F82DFC">
      <w:pPr>
        <w:spacing w:after="0"/>
        <w:rPr>
          <w:i/>
          <w:iCs/>
        </w:rPr>
      </w:pPr>
      <w:r w:rsidRPr="008F2986">
        <w:rPr>
          <w:i/>
          <w:iCs/>
        </w:rPr>
        <w:lastRenderedPageBreak/>
        <w:t>Regjeringe</w:t>
      </w:r>
      <w:r w:rsidR="7BC21D30" w:rsidRPr="008F2986">
        <w:rPr>
          <w:i/>
          <w:iCs/>
        </w:rPr>
        <w:t>n er kritisk til Forskningsrådets økonomistyring</w:t>
      </w:r>
      <w:r w:rsidR="12D02BBD" w:rsidRPr="008F2986">
        <w:rPr>
          <w:i/>
          <w:iCs/>
        </w:rPr>
        <w:t xml:space="preserve"> som en mener er i strid</w:t>
      </w:r>
      <w:r w:rsidR="1195DB25" w:rsidRPr="008F2986">
        <w:rPr>
          <w:i/>
          <w:iCs/>
        </w:rPr>
        <w:t xml:space="preserve"> med bevilgnings- og økonomiregelverket i staten</w:t>
      </w:r>
      <w:r w:rsidR="12D02BBD" w:rsidRPr="008F2986">
        <w:rPr>
          <w:i/>
          <w:iCs/>
        </w:rPr>
        <w:t>, og har oppnevnt et interim</w:t>
      </w:r>
      <w:r w:rsidR="4BF924ED" w:rsidRPr="008F2986">
        <w:rPr>
          <w:i/>
          <w:iCs/>
        </w:rPr>
        <w:t>s</w:t>
      </w:r>
      <w:r w:rsidR="12D02BBD" w:rsidRPr="008F2986">
        <w:rPr>
          <w:i/>
          <w:iCs/>
        </w:rPr>
        <w:t xml:space="preserve">styre for Forskningsrådet som skal </w:t>
      </w:r>
      <w:r w:rsidR="77DB4974" w:rsidRPr="008F2986">
        <w:rPr>
          <w:i/>
          <w:iCs/>
        </w:rPr>
        <w:t xml:space="preserve">gjennomgå situasjonen og sette i verk tiltak. </w:t>
      </w:r>
      <w:r w:rsidR="00F82DFC" w:rsidRPr="008F2986">
        <w:rPr>
          <w:i/>
          <w:iCs/>
        </w:rPr>
        <w:t xml:space="preserve">Regjeringen vil samtidig be Forskningsrådet stoppe tildelinger til nye prosjekter inntil videre innenfor de områdene der det er negative avsetninger. </w:t>
      </w:r>
    </w:p>
    <w:p w14:paraId="73A2B3D2" w14:textId="43D96C16" w:rsidR="002B224A" w:rsidRDefault="002B224A" w:rsidP="00F82DFC">
      <w:pPr>
        <w:spacing w:after="0"/>
        <w:rPr>
          <w:i/>
          <w:iCs/>
        </w:rPr>
      </w:pPr>
    </w:p>
    <w:p w14:paraId="5A81ABDD" w14:textId="77777777" w:rsidR="000C2E07" w:rsidRDefault="00F23027" w:rsidP="39ADF160">
      <w:pPr>
        <w:spacing w:after="0"/>
      </w:pPr>
      <w:proofErr w:type="spellStart"/>
      <w:r>
        <w:t>Prop</w:t>
      </w:r>
      <w:proofErr w:type="spellEnd"/>
      <w:r w:rsidR="00100057">
        <w:t>.</w:t>
      </w:r>
      <w:r w:rsidR="39ADF160">
        <w:t xml:space="preserve"> 1</w:t>
      </w:r>
      <w:r>
        <w:t xml:space="preserve"> S</w:t>
      </w:r>
      <w:r w:rsidR="39ADF160">
        <w:t xml:space="preserve"> (2021-2022) har en detaljert beskrivelse av Forskningsrådet budsjettpraksis, men Stortinget har ikke gitt en formell fullmakt til å midlertidig å overføre midler mellom poster. DFØ skriver</w:t>
      </w:r>
      <w:r w:rsidR="00100057">
        <w:rPr>
          <w:rStyle w:val="Fotnotereferanse"/>
        </w:rPr>
        <w:footnoteReference w:id="1"/>
      </w:r>
      <w:r w:rsidR="39ADF160">
        <w:t xml:space="preserve"> at uten en slik fullmakt, er Forskningsrådets praksis et brudd på økonomiregelverket. DFØ </w:t>
      </w:r>
      <w:r w:rsidR="00B90F8D">
        <w:t>sier</w:t>
      </w:r>
      <w:r w:rsidR="39ADF160">
        <w:t xml:space="preserve"> videre at det er kryssende hensyn og en slik fullmakt vil gi en mer effektiv ressursbruk. </w:t>
      </w:r>
    </w:p>
    <w:p w14:paraId="2FCADF78" w14:textId="77777777" w:rsidR="000C2E07" w:rsidRDefault="000C2E07" w:rsidP="39ADF160">
      <w:pPr>
        <w:spacing w:after="0"/>
      </w:pPr>
    </w:p>
    <w:p w14:paraId="49E2AFE8" w14:textId="2F8C8C12" w:rsidR="39ADF160" w:rsidRDefault="39ADF160" w:rsidP="39ADF160">
      <w:pPr>
        <w:spacing w:after="0"/>
      </w:pPr>
      <w:r>
        <w:t>FFA oppfordrer Stortinget til å gi en slik fullmakt. Det</w:t>
      </w:r>
      <w:r w:rsidR="00C71158">
        <w:t xml:space="preserve"> er</w:t>
      </w:r>
      <w:r>
        <w:t xml:space="preserve"> spesielt viktig </w:t>
      </w:r>
      <w:r w:rsidR="00385BCE">
        <w:t xml:space="preserve">med en midlertidig fullmakt </w:t>
      </w:r>
      <w:r>
        <w:t>i en overgangsperiode på noen år for å unngå at et stort antall forskningsprosjekter stoppes. En permanent fullmakt vil bidra til en effektiv ressursbruk og at vi unngår en</w:t>
      </w:r>
      <w:r w:rsidR="00523850">
        <w:t xml:space="preserve"> kraftig</w:t>
      </w:r>
      <w:r>
        <w:t xml:space="preserve"> redusert forskningsaktivitet i </w:t>
      </w:r>
      <w:r w:rsidR="00523850">
        <w:t>årene</w:t>
      </w:r>
      <w:r>
        <w:t xml:space="preserve"> mens Forskningsrådet på nytt bygger opp sine overføringer. </w:t>
      </w:r>
    </w:p>
    <w:p w14:paraId="20D2E41A" w14:textId="77777777" w:rsidR="000E5702" w:rsidRDefault="000E5702" w:rsidP="39ADF160">
      <w:pPr>
        <w:spacing w:after="0"/>
      </w:pPr>
    </w:p>
    <w:p w14:paraId="13CB9D3F" w14:textId="77777777" w:rsidR="000E5702" w:rsidRPr="00C028E0" w:rsidRDefault="000E5702" w:rsidP="000E5702">
      <w:pPr>
        <w:spacing w:after="0"/>
        <w:rPr>
          <w:b/>
          <w:bCs/>
        </w:rPr>
      </w:pPr>
      <w:r w:rsidRPr="00C028E0">
        <w:rPr>
          <w:b/>
          <w:bCs/>
        </w:rPr>
        <w:t>Forskningsrådet</w:t>
      </w:r>
      <w:r>
        <w:rPr>
          <w:b/>
          <w:bCs/>
        </w:rPr>
        <w:t>s midler</w:t>
      </w:r>
      <w:r w:rsidRPr="00C028E0">
        <w:rPr>
          <w:b/>
          <w:bCs/>
        </w:rPr>
        <w:t xml:space="preserve"> er motor i forskningsbasert omstilling og må styrkes, ikke svekkes</w:t>
      </w:r>
    </w:p>
    <w:p w14:paraId="46264B5A" w14:textId="5A310F63" w:rsidR="39ADF160" w:rsidRDefault="39ADF160" w:rsidP="39ADF160">
      <w:pPr>
        <w:spacing w:after="0"/>
      </w:pPr>
      <w:r>
        <w:t xml:space="preserve">Det er meget alvorlig </w:t>
      </w:r>
      <w:r w:rsidR="0006615A" w:rsidRPr="0006615A">
        <w:t xml:space="preserve">for kunnskapsutvikling og innfrielse av samfunnsoppdrag og det grønne skiftet </w:t>
      </w:r>
      <w:r>
        <w:t>hvis et stort antall forskningsprosjekter må utsettes</w:t>
      </w:r>
      <w:r w:rsidR="000E5702">
        <w:t xml:space="preserve"> pga</w:t>
      </w:r>
      <w:r w:rsidR="00755B17">
        <w:t>.</w:t>
      </w:r>
      <w:r w:rsidR="000E5702">
        <w:t xml:space="preserve"> økonomisk </w:t>
      </w:r>
      <w:r w:rsidR="00946487">
        <w:t>opprydding i Forskningsrådet</w:t>
      </w:r>
      <w:r>
        <w:t xml:space="preserve">. </w:t>
      </w:r>
    </w:p>
    <w:p w14:paraId="6DE5C2C5" w14:textId="77777777" w:rsidR="009263CF" w:rsidRDefault="009263CF" w:rsidP="00F82DFC">
      <w:pPr>
        <w:spacing w:after="0"/>
      </w:pPr>
    </w:p>
    <w:p w14:paraId="79322E96" w14:textId="5FE6D480" w:rsidR="007824C7" w:rsidRDefault="00781CCC" w:rsidP="00781CCC">
      <w:pPr>
        <w:spacing w:after="0"/>
      </w:pPr>
      <w:r>
        <w:t xml:space="preserve">FFA </w:t>
      </w:r>
      <w:r w:rsidR="00756998">
        <w:t>e</w:t>
      </w:r>
      <w:r>
        <w:t xml:space="preserve">r svært bekymret for konsekvensene av at </w:t>
      </w:r>
      <w:r w:rsidR="0046440C">
        <w:t>r</w:t>
      </w:r>
      <w:r>
        <w:t>egjeringen har bedt Forskningsrådet om å stoppe tildelinger på flere områder</w:t>
      </w:r>
      <w:r w:rsidR="004E047D">
        <w:t xml:space="preserve"> hvor pengene kommer fra Forskningsrådet over kap.</w:t>
      </w:r>
      <w:r w:rsidR="0053087D">
        <w:t xml:space="preserve"> 285. Dette inkluderer </w:t>
      </w:r>
      <w:r w:rsidR="002701A5">
        <w:t xml:space="preserve">FRIPRO-midler, tildelinger til forskningsinfrastruktur, penger til institutter som </w:t>
      </w:r>
      <w:r w:rsidR="00E43EAB">
        <w:t xml:space="preserve">allerede </w:t>
      </w:r>
      <w:r w:rsidR="002701A5">
        <w:t xml:space="preserve">har fått gjennomslag i EU </w:t>
      </w:r>
      <w:r w:rsidR="00E43EAB">
        <w:t xml:space="preserve">(RES-EU) </w:t>
      </w:r>
      <w:r w:rsidR="002701A5">
        <w:t xml:space="preserve">og medfinansiering av </w:t>
      </w:r>
      <w:r w:rsidR="001F42DD">
        <w:t>flere</w:t>
      </w:r>
      <w:r w:rsidR="002701A5">
        <w:t xml:space="preserve"> tusen pågående forskningsprosjekter</w:t>
      </w:r>
      <w:r w:rsidR="007D6FA0">
        <w:t>. Det vil gi store konsekvenser på både kort og lang sikt:</w:t>
      </w:r>
    </w:p>
    <w:p w14:paraId="4403A55F" w14:textId="2BC3DD20" w:rsidR="007824C7" w:rsidRDefault="004227D7" w:rsidP="00466A83">
      <w:pPr>
        <w:pStyle w:val="Listeavsnitt"/>
        <w:numPr>
          <w:ilvl w:val="0"/>
          <w:numId w:val="6"/>
        </w:numPr>
        <w:spacing w:after="0"/>
      </w:pPr>
      <w:r>
        <w:t>Dette går</w:t>
      </w:r>
      <w:r w:rsidR="008A5245">
        <w:t xml:space="preserve"> </w:t>
      </w:r>
      <w:r>
        <w:t xml:space="preserve">massivt utover de faglige resultatene </w:t>
      </w:r>
      <w:r w:rsidR="0006615A">
        <w:t xml:space="preserve">innen kunnskapsbygging og innovasjon </w:t>
      </w:r>
      <w:r>
        <w:t xml:space="preserve">som er etterspurt og prioritert opp i hard konkurranse.  </w:t>
      </w:r>
    </w:p>
    <w:p w14:paraId="4FC02508" w14:textId="00494925" w:rsidR="005F4032" w:rsidRDefault="004227D7" w:rsidP="00466A83">
      <w:pPr>
        <w:pStyle w:val="Listeavsnitt"/>
        <w:numPr>
          <w:ilvl w:val="0"/>
          <w:numId w:val="6"/>
        </w:numPr>
        <w:spacing w:after="0"/>
      </w:pPr>
      <w:r>
        <w:t xml:space="preserve">Det er </w:t>
      </w:r>
      <w:proofErr w:type="gramStart"/>
      <w:r>
        <w:t>potensielt</w:t>
      </w:r>
      <w:proofErr w:type="gramEnd"/>
      <w:r>
        <w:t xml:space="preserve"> sett økonomisk ødeleggende for hele instituttsektoren som har NFR-</w:t>
      </w:r>
      <w:r w:rsidR="00942A9B">
        <w:t xml:space="preserve"> og EU-</w:t>
      </w:r>
      <w:r>
        <w:t xml:space="preserve">finansiering som </w:t>
      </w:r>
      <w:r w:rsidR="00A76508">
        <w:t xml:space="preserve">en </w:t>
      </w:r>
      <w:r>
        <w:t>kritisk viktig bærebjelke under budsjettene sine</w:t>
      </w:r>
      <w:r w:rsidR="005F4032">
        <w:t>.</w:t>
      </w:r>
    </w:p>
    <w:p w14:paraId="0B4036E4" w14:textId="2D035F18" w:rsidR="00AA62C6" w:rsidRDefault="00AA62C6" w:rsidP="00AA62C6">
      <w:pPr>
        <w:pStyle w:val="Listeavsnitt"/>
        <w:numPr>
          <w:ilvl w:val="0"/>
          <w:numId w:val="6"/>
        </w:numPr>
        <w:spacing w:after="0"/>
      </w:pPr>
      <w:r>
        <w:t xml:space="preserve">Det gjør norske forskningsmiljøer mindre forutsigbare og attraktive for nasjonale og utenlandske samarbeidspartnere. Norge kan miste viktige samarbeidspartnere i industrien og i EU-prosjekter som gir norske bedrifter og forskningsmiljøer tilgang til internasjonal kompetanse, nettverk og kunder. </w:t>
      </w:r>
    </w:p>
    <w:p w14:paraId="04D63590" w14:textId="7379B607" w:rsidR="0015274C" w:rsidRDefault="005F4032" w:rsidP="00466A83">
      <w:pPr>
        <w:pStyle w:val="Listeavsnitt"/>
        <w:numPr>
          <w:ilvl w:val="0"/>
          <w:numId w:val="6"/>
        </w:numPr>
        <w:spacing w:after="0"/>
      </w:pPr>
      <w:r>
        <w:t xml:space="preserve">Det </w:t>
      </w:r>
      <w:r w:rsidR="004227D7">
        <w:t>rammer</w:t>
      </w:r>
      <w:r w:rsidR="008A5245">
        <w:t xml:space="preserve"> </w:t>
      </w:r>
      <w:r w:rsidR="004227D7">
        <w:t xml:space="preserve">mange hundre arbeidstakere </w:t>
      </w:r>
      <w:r w:rsidR="0015274C">
        <w:t xml:space="preserve">og spesielt </w:t>
      </w:r>
      <w:r w:rsidR="004227D7">
        <w:t>de yngre forskerne i prosjektfinansierte stilling</w:t>
      </w:r>
      <w:r w:rsidR="008A5245">
        <w:t>er.</w:t>
      </w:r>
    </w:p>
    <w:p w14:paraId="2935B867" w14:textId="0C6628CF" w:rsidR="004227D7" w:rsidRDefault="0015274C" w:rsidP="00466A83">
      <w:pPr>
        <w:pStyle w:val="Listeavsnitt"/>
        <w:numPr>
          <w:ilvl w:val="0"/>
          <w:numId w:val="6"/>
        </w:numPr>
        <w:spacing w:after="0"/>
      </w:pPr>
      <w:r>
        <w:t>F</w:t>
      </w:r>
      <w:r w:rsidR="004227D7">
        <w:t xml:space="preserve">ramtidig forskerrekruttering </w:t>
      </w:r>
      <w:r w:rsidR="00FE6BF4">
        <w:t xml:space="preserve">settes </w:t>
      </w:r>
      <w:r w:rsidR="004227D7">
        <w:t>i fare ved at yngre forskere vender ryggen til et stadig mer usikkert arbeidsmarked</w:t>
      </w:r>
      <w:r w:rsidR="00A76508">
        <w:t xml:space="preserve"> i </w:t>
      </w:r>
      <w:r w:rsidR="00B940D3">
        <w:t xml:space="preserve">norsk </w:t>
      </w:r>
      <w:r w:rsidR="00A76508">
        <w:t>forskning</w:t>
      </w:r>
      <w:r w:rsidR="004227D7">
        <w:t>.</w:t>
      </w:r>
    </w:p>
    <w:p w14:paraId="6C08F740" w14:textId="2F025334" w:rsidR="007978C4" w:rsidRDefault="007978C4" w:rsidP="00781CCC">
      <w:pPr>
        <w:spacing w:after="0"/>
      </w:pPr>
    </w:p>
    <w:p w14:paraId="5F7B4D2B" w14:textId="6CBD14A3" w:rsidR="00232DE7" w:rsidRDefault="00781CCC" w:rsidP="39ADF160">
      <w:pPr>
        <w:spacing w:after="0"/>
      </w:pPr>
      <w:r>
        <w:t xml:space="preserve">Forutsigbar finansiering gjennom Forskningsrådet er avgjørende. Det vil være svært uheldig om det skapes usikkerhet rundt pågående </w:t>
      </w:r>
      <w:r w:rsidR="00100927">
        <w:t xml:space="preserve">prosjekter, </w:t>
      </w:r>
      <w:r>
        <w:t xml:space="preserve">kontraktarbeid og utlysninger. </w:t>
      </w:r>
      <w:r w:rsidR="00856FDE">
        <w:t>U</w:t>
      </w:r>
      <w:r w:rsidR="003A420D" w:rsidRPr="003A420D">
        <w:t xml:space="preserve">tsettelse og mulig reduksjon av tildelinger som er gjort </w:t>
      </w:r>
      <w:r w:rsidR="00856FDE">
        <w:t xml:space="preserve">for eksempel </w:t>
      </w:r>
      <w:r w:rsidR="003A420D" w:rsidRPr="003A420D">
        <w:t xml:space="preserve">til forskningsinfrastruktur på Kunnskapsdepartementet budsjett, </w:t>
      </w:r>
      <w:r w:rsidR="003A420D">
        <w:t>(</w:t>
      </w:r>
      <w:r w:rsidR="003A420D" w:rsidRPr="003A420D">
        <w:t>kap. 285, post 54</w:t>
      </w:r>
      <w:r w:rsidR="003A420D">
        <w:t>)</w:t>
      </w:r>
      <w:r w:rsidR="003C2BBC">
        <w:t>,</w:t>
      </w:r>
      <w:r w:rsidR="003A420D">
        <w:t xml:space="preserve"> </w:t>
      </w:r>
      <w:r w:rsidR="00856FDE">
        <w:t xml:space="preserve">vil </w:t>
      </w:r>
      <w:r w:rsidR="00B02595">
        <w:t>skape</w:t>
      </w:r>
      <w:r w:rsidR="003A420D" w:rsidRPr="003A420D">
        <w:t xml:space="preserve"> svært krevende økonomisk usikkerhet og risiko for forskningsinstitutter og </w:t>
      </w:r>
      <w:r w:rsidR="002F3262">
        <w:t xml:space="preserve">for </w:t>
      </w:r>
      <w:r w:rsidR="00710BC3">
        <w:t>nærings</w:t>
      </w:r>
      <w:r w:rsidR="009C4FB1">
        <w:t>l</w:t>
      </w:r>
      <w:r w:rsidR="00710BC3">
        <w:t>iv</w:t>
      </w:r>
      <w:r w:rsidR="002F3262">
        <w:t xml:space="preserve"> som </w:t>
      </w:r>
      <w:r w:rsidR="006F6623">
        <w:t>er klar for å satse tungt på grønn industri</w:t>
      </w:r>
      <w:r w:rsidR="00710BC3">
        <w:t xml:space="preserve"> og eksport</w:t>
      </w:r>
      <w:r w:rsidR="003C2BBC">
        <w:t>, for eksempel innen batteriteknologi</w:t>
      </w:r>
      <w:r w:rsidR="00710BC3">
        <w:t>.</w:t>
      </w:r>
    </w:p>
    <w:p w14:paraId="43245AEF" w14:textId="77777777" w:rsidR="00232DE7" w:rsidRDefault="00232DE7" w:rsidP="39ADF160">
      <w:pPr>
        <w:spacing w:after="0"/>
      </w:pPr>
    </w:p>
    <w:p w14:paraId="024FC252" w14:textId="2FA771EE" w:rsidR="00781CCC" w:rsidRDefault="00781CCC" w:rsidP="39ADF160">
      <w:pPr>
        <w:spacing w:after="0"/>
      </w:pPr>
      <w:r>
        <w:lastRenderedPageBreak/>
        <w:t xml:space="preserve">Vi må ikke risikere å miste de kloke hodene </w:t>
      </w:r>
      <w:r w:rsidR="004C01CA">
        <w:t>gjennom kutt i Forskningsrådets bevilgninger.</w:t>
      </w:r>
      <w:r>
        <w:t xml:space="preserve"> Forskningsinstituttene arbeider full tid på å løse vår tids store </w:t>
      </w:r>
      <w:r w:rsidR="0087240F">
        <w:t>samfunns</w:t>
      </w:r>
      <w:r>
        <w:t>utfordringer</w:t>
      </w:r>
      <w:r w:rsidR="00100927">
        <w:t xml:space="preserve"> og må</w:t>
      </w:r>
      <w:r>
        <w:t xml:space="preserve"> gis forutsigbare og gode vilkår for å bidra nasjonalt og internasjonalt, i nært samarbeid med bedrifter og offentlige virksomheter. </w:t>
      </w:r>
      <w:r w:rsidR="00793268" w:rsidRPr="00793268">
        <w:t xml:space="preserve">Forskningsinstituttene er omstillingspartner for industrien </w:t>
      </w:r>
      <w:r w:rsidR="00793268">
        <w:t xml:space="preserve">og for offentlige virksomheter </w:t>
      </w:r>
      <w:r w:rsidR="00793268" w:rsidRPr="00793268">
        <w:t xml:space="preserve">og sikrer tilgang til anvendt forskning og utvikling. </w:t>
      </w:r>
      <w:r>
        <w:t>Norge trenger forsknings- og utviklingsprosjekter som bidrar til ny kunnskap, nye løsninger på de store samfunnsutfordringene og nye arbeidsplasser</w:t>
      </w:r>
      <w:r w:rsidR="7DCB53FB">
        <w:t xml:space="preserve">. </w:t>
      </w:r>
    </w:p>
    <w:p w14:paraId="109C19AF" w14:textId="77777777" w:rsidR="39ADF160" w:rsidRDefault="39ADF160" w:rsidP="39ADF160">
      <w:pPr>
        <w:spacing w:after="0"/>
      </w:pPr>
    </w:p>
    <w:p w14:paraId="0508DF74" w14:textId="4B6A7BC2" w:rsidR="7DCB53FB" w:rsidRDefault="7DCB53FB">
      <w:r>
        <w:t>EU akselerer forskningsinnsatsen mot samfunnsutfordringene. Forsknings- og utviklings</w:t>
      </w:r>
      <w:r w:rsidR="00837933">
        <w:t>arbeid</w:t>
      </w:r>
      <w:r>
        <w:t xml:space="preserve"> involverer ofte mange aktører og er avhengig av forutsigbare</w:t>
      </w:r>
      <w:r w:rsidR="0087240F">
        <w:t xml:space="preserve"> og økonomisk bærekraftige</w:t>
      </w:r>
      <w:r>
        <w:t xml:space="preserve"> rammevilkår. Norsk næringsliv og velferdssystem vil svekkes i lang tid hvis</w:t>
      </w:r>
      <w:r w:rsidR="001A07E8">
        <w:t xml:space="preserve"> vi</w:t>
      </w:r>
      <w:r>
        <w:t xml:space="preserve"> </w:t>
      </w:r>
      <w:r w:rsidR="001A07E8">
        <w:t xml:space="preserve">reduserer innsatsen nå og </w:t>
      </w:r>
      <w:r>
        <w:t xml:space="preserve">ikke greier omstillingene. </w:t>
      </w:r>
    </w:p>
    <w:p w14:paraId="073EBC99" w14:textId="710CFD6F" w:rsidR="007978C4" w:rsidRDefault="007978C4" w:rsidP="00781CCC">
      <w:pPr>
        <w:spacing w:after="0"/>
      </w:pPr>
      <w:bookmarkStart w:id="1" w:name="_Hlk103349879"/>
      <w:r>
        <w:t xml:space="preserve">På to områder </w:t>
      </w:r>
      <w:r w:rsidR="008E2E90">
        <w:t xml:space="preserve">mener vi det er særlig viktige </w:t>
      </w:r>
      <w:r>
        <w:t>problemstilling</w:t>
      </w:r>
      <w:r w:rsidR="008E2E90">
        <w:t>er</w:t>
      </w:r>
      <w:r w:rsidR="000A7486">
        <w:t xml:space="preserve"> som </w:t>
      </w:r>
      <w:r w:rsidR="00302D49">
        <w:t>må</w:t>
      </w:r>
      <w:r w:rsidR="000A7486">
        <w:t xml:space="preserve"> hensynta</w:t>
      </w:r>
      <w:r w:rsidR="00302D49">
        <w:t>s</w:t>
      </w:r>
      <w:r w:rsidR="008E2E90">
        <w:t>;</w:t>
      </w:r>
      <w:r>
        <w:t xml:space="preserve"> RES-EU og Ocean Space Cent</w:t>
      </w:r>
      <w:r w:rsidR="00CC4466">
        <w:t>re</w:t>
      </w:r>
      <w:r>
        <w:t xml:space="preserve">. </w:t>
      </w:r>
      <w:bookmarkEnd w:id="1"/>
    </w:p>
    <w:p w14:paraId="5C8B0021" w14:textId="77777777" w:rsidR="004B3EA6" w:rsidRPr="007978C4" w:rsidRDefault="004B3EA6" w:rsidP="00781CCC">
      <w:pPr>
        <w:spacing w:after="0"/>
      </w:pPr>
    </w:p>
    <w:p w14:paraId="484B278D" w14:textId="2C6AFF10" w:rsidR="002C7F83" w:rsidRPr="000E710F" w:rsidRDefault="002B5BB9" w:rsidP="00781CCC">
      <w:pPr>
        <w:spacing w:after="0"/>
        <w:rPr>
          <w:b/>
          <w:bCs/>
        </w:rPr>
      </w:pPr>
      <w:r w:rsidRPr="000E710F">
        <w:rPr>
          <w:b/>
          <w:bCs/>
        </w:rPr>
        <w:t xml:space="preserve">Norges </w:t>
      </w:r>
      <w:r w:rsidR="008E2E90" w:rsidRPr="000E710F">
        <w:rPr>
          <w:b/>
          <w:bCs/>
        </w:rPr>
        <w:t>grønne og digitale skiftet</w:t>
      </w:r>
      <w:r w:rsidRPr="000E710F">
        <w:rPr>
          <w:b/>
          <w:bCs/>
        </w:rPr>
        <w:t xml:space="preserve"> forutsetter at instituttene </w:t>
      </w:r>
      <w:r w:rsidR="002E4A46">
        <w:rPr>
          <w:b/>
          <w:bCs/>
        </w:rPr>
        <w:t xml:space="preserve">fortsatt </w:t>
      </w:r>
      <w:r w:rsidRPr="000E710F">
        <w:rPr>
          <w:b/>
          <w:bCs/>
        </w:rPr>
        <w:t>kan delta i Horisont Europa</w:t>
      </w:r>
    </w:p>
    <w:p w14:paraId="5A6073BE" w14:textId="4C0D324E" w:rsidR="002C7F83" w:rsidRPr="002C7F83" w:rsidRDefault="2C092483" w:rsidP="002C7F83">
      <w:r>
        <w:t>Penger fra den resultatbaserte ordning</w:t>
      </w:r>
      <w:r w:rsidR="51C001FA">
        <w:t>e</w:t>
      </w:r>
      <w:r>
        <w:t xml:space="preserve">n RES-EU (tidligere STIM-EU) sikrer at norske institutter har </w:t>
      </w:r>
      <w:r w:rsidR="00A66C6B">
        <w:t xml:space="preserve">nær kostnadsdekning og </w:t>
      </w:r>
      <w:r>
        <w:t>tilnærmet like konkurransevilkår som konkurrentene i EU og henter hjem midler til</w:t>
      </w:r>
      <w:r w:rsidR="002A158E">
        <w:t xml:space="preserve"> forskning som bidrar til</w:t>
      </w:r>
      <w:r>
        <w:t xml:space="preserve"> grønn og bærekraftig omstilling</w:t>
      </w:r>
      <w:r w:rsidR="002A158E">
        <w:t xml:space="preserve"> i norsk samfunn og næringsliv</w:t>
      </w:r>
      <w:r>
        <w:t>. RES-EU er i dag dimensjonert utfra størrelsen på</w:t>
      </w:r>
      <w:r w:rsidR="00F9557F">
        <w:t>, og returambisjonene for,</w:t>
      </w:r>
      <w:r>
        <w:t xml:space="preserve"> </w:t>
      </w:r>
      <w:r w:rsidR="00F9557F">
        <w:t>det forrige</w:t>
      </w:r>
      <w:r>
        <w:t xml:space="preserve"> programmet Horisont 2020</w:t>
      </w:r>
      <w:r w:rsidR="6FD199FA">
        <w:t>.</w:t>
      </w:r>
      <w:r>
        <w:t xml:space="preserve"> </w:t>
      </w:r>
      <w:r w:rsidR="5A88680D">
        <w:t xml:space="preserve">Budsjettrammene for Horisont Europa er </w:t>
      </w:r>
      <w:r w:rsidR="6FD199FA">
        <w:t>vesentlig større</w:t>
      </w:r>
      <w:r w:rsidR="5A88680D">
        <w:t xml:space="preserve"> og </w:t>
      </w:r>
      <w:r w:rsidR="008778BB">
        <w:t>nors</w:t>
      </w:r>
      <w:r w:rsidR="002E4A46">
        <w:t>k</w:t>
      </w:r>
      <w:r w:rsidR="008778BB">
        <w:t xml:space="preserve"> instituttsektor</w:t>
      </w:r>
      <w:r w:rsidR="5A88680D">
        <w:t xml:space="preserve"> har </w:t>
      </w:r>
      <w:r w:rsidR="008778BB">
        <w:t xml:space="preserve">vist seg konkurransedyktig og vinner stadig flere prosjekter - og bidrar dermed til ambisjonen for </w:t>
      </w:r>
      <w:r w:rsidR="5A88680D">
        <w:t xml:space="preserve">norsk retur satt av </w:t>
      </w:r>
      <w:r w:rsidR="00DC5947">
        <w:t>R</w:t>
      </w:r>
      <w:r w:rsidR="5A88680D">
        <w:t>egjeringen.</w:t>
      </w:r>
      <w:r w:rsidR="6FD199FA">
        <w:t xml:space="preserve"> </w:t>
      </w:r>
      <w:r>
        <w:t xml:space="preserve">Rammen for RES-EU i 2022 er </w:t>
      </w:r>
      <w:r w:rsidR="51C001FA">
        <w:t xml:space="preserve">i utgangspunktet </w:t>
      </w:r>
      <w:r>
        <w:t>langt fra tilstrekkelig til å dekke årets kostnader</w:t>
      </w:r>
      <w:r w:rsidR="00CF2827" w:rsidRPr="00CF2827">
        <w:t xml:space="preserve"> pga. stor norsk suksess i konkurranse med de beste forskningsmiljøene i Europa.</w:t>
      </w:r>
      <w:r>
        <w:t xml:space="preserve"> FFA frykter derfor</w:t>
      </w:r>
      <w:r w:rsidR="00CF2827">
        <w:t xml:space="preserve"> konsekvensene av</w:t>
      </w:r>
      <w:r>
        <w:t xml:space="preserve"> at denne ordningen </w:t>
      </w:r>
      <w:r w:rsidR="00AC0415">
        <w:t xml:space="preserve">nå </w:t>
      </w:r>
      <w:r w:rsidR="00CF2827">
        <w:t>kan</w:t>
      </w:r>
      <w:r>
        <w:t xml:space="preserve"> svekke</w:t>
      </w:r>
      <w:r w:rsidR="00AC0415">
        <w:t>s, også for prosjekter vunnet i 2022</w:t>
      </w:r>
      <w:r w:rsidR="00B44FCD">
        <w:t>.</w:t>
      </w:r>
      <w:r>
        <w:t xml:space="preserve"> FFA mener at Stortinget må følge opp beslutningen om full deltakelse i Horisont Europa ved å bevilge økte midler til RES-EU. </w:t>
      </w:r>
    </w:p>
    <w:p w14:paraId="22877C85" w14:textId="764FE501" w:rsidR="006F5AAE" w:rsidRDefault="4BF924ED" w:rsidP="00781CCC">
      <w:pPr>
        <w:spacing w:after="0"/>
      </w:pPr>
      <w:r>
        <w:t>Ettersom støtte fra RES-EU gis kun når instituttene vinner prosjektfinansiering i EU, er ordningen en investering som garanterer økt retur av midler fra EUs forskningsprogram.</w:t>
      </w:r>
      <w:r w:rsidR="00DE3DFD">
        <w:t xml:space="preserve"> Og det er en god investering:</w:t>
      </w:r>
      <w:r>
        <w:t xml:space="preserve"> Hittil har 1 kr investert i RES-EU gitt 2 kr prosjektfinansiering</w:t>
      </w:r>
      <w:r w:rsidR="00882981">
        <w:t xml:space="preserve"> fra EU</w:t>
      </w:r>
      <w:r>
        <w:t xml:space="preserve"> til norske institutter og tilgang til forskning for 20 kr.</w:t>
      </w:r>
    </w:p>
    <w:p w14:paraId="2336739B" w14:textId="77777777" w:rsidR="000015EA" w:rsidRDefault="000015EA" w:rsidP="00781CCC">
      <w:pPr>
        <w:spacing w:after="0"/>
      </w:pPr>
    </w:p>
    <w:p w14:paraId="4643C008" w14:textId="50AB643B" w:rsidR="00D55F9D" w:rsidRDefault="4BF924ED" w:rsidP="00781CCC">
      <w:pPr>
        <w:spacing w:after="0"/>
      </w:pPr>
      <w:r>
        <w:t>Pga</w:t>
      </w:r>
      <w:r w:rsidR="0046440C">
        <w:t>.</w:t>
      </w:r>
      <w:r>
        <w:t xml:space="preserve"> instituttenes lave ordinære grunnfinansiering, har ikke instituttene mulighet til å delta </w:t>
      </w:r>
      <w:r w:rsidR="00B44FCD">
        <w:t xml:space="preserve">i Horisont Europa </w:t>
      </w:r>
      <w:r>
        <w:t xml:space="preserve">uten RES-EU. </w:t>
      </w:r>
      <w:r w:rsidR="564976F3">
        <w:t xml:space="preserve">Dersom </w:t>
      </w:r>
      <w:r w:rsidR="6EDE3C97">
        <w:t>rammen til</w:t>
      </w:r>
      <w:r w:rsidR="43AD32BF">
        <w:t xml:space="preserve"> </w:t>
      </w:r>
      <w:r w:rsidR="7F129C75">
        <w:t>RES-EU</w:t>
      </w:r>
      <w:r w:rsidR="43AD32BF">
        <w:t xml:space="preserve"> ikke </w:t>
      </w:r>
      <w:r w:rsidR="6EDE3C97">
        <w:t>fylles opp med økt bevilgning</w:t>
      </w:r>
      <w:r w:rsidR="6AF7A486">
        <w:t>,</w:t>
      </w:r>
      <w:r w:rsidR="564976F3">
        <w:t xml:space="preserve"> må instituttene </w:t>
      </w:r>
      <w:r w:rsidR="6AF7A486">
        <w:t xml:space="preserve">raskt </w:t>
      </w:r>
      <w:r w:rsidR="564976F3">
        <w:t>trappe ned sin</w:t>
      </w:r>
      <w:r w:rsidR="00B44FCD">
        <w:t xml:space="preserve"> framtidige</w:t>
      </w:r>
      <w:r w:rsidR="564976F3">
        <w:t xml:space="preserve"> aktivitet overfor EU</w:t>
      </w:r>
      <w:r w:rsidR="00B44FCD">
        <w:t>, samt</w:t>
      </w:r>
      <w:r w:rsidR="1446E768">
        <w:t xml:space="preserve"> takke nei til EU-</w:t>
      </w:r>
      <w:r w:rsidR="6EDE3C97">
        <w:t xml:space="preserve">finansiering til </w:t>
      </w:r>
      <w:r w:rsidR="1446E768">
        <w:t xml:space="preserve">prosjekter </w:t>
      </w:r>
      <w:r w:rsidR="003C4718">
        <w:t xml:space="preserve">allerede </w:t>
      </w:r>
      <w:r w:rsidR="1446E768">
        <w:t>vunnet i konkurransen</w:t>
      </w:r>
      <w:r w:rsidR="6EDE3C97">
        <w:t xml:space="preserve">. </w:t>
      </w:r>
      <w:r w:rsidR="00A65A3F" w:rsidRPr="00A65A3F">
        <w:t xml:space="preserve">I tillegg til å gjøre norske partnere mindre attraktive i framtidige prosjekter, vil </w:t>
      </w:r>
      <w:r w:rsidR="00A65A3F">
        <w:t>d</w:t>
      </w:r>
      <w:r w:rsidR="6EDE3C97">
        <w:t xml:space="preserve">et </w:t>
      </w:r>
      <w:r w:rsidR="4478508B">
        <w:t xml:space="preserve">redusere Norges </w:t>
      </w:r>
      <w:r w:rsidR="00BD5517">
        <w:t>retur</w:t>
      </w:r>
      <w:r w:rsidR="4478508B">
        <w:t xml:space="preserve">andel av </w:t>
      </w:r>
      <w:r w:rsidR="00BD5517">
        <w:t>Horisont Europa – et program</w:t>
      </w:r>
      <w:r w:rsidR="4478508B">
        <w:t xml:space="preserve"> som vi allerede betaler </w:t>
      </w:r>
      <w:r w:rsidR="00BD5517">
        <w:t xml:space="preserve">en betydelig </w:t>
      </w:r>
      <w:r w:rsidR="4478508B">
        <w:t xml:space="preserve">kontingent </w:t>
      </w:r>
      <w:r w:rsidR="00BD5517">
        <w:t>for å delta i</w:t>
      </w:r>
      <w:r w:rsidR="008C4294">
        <w:t xml:space="preserve"> (totalt ca</w:t>
      </w:r>
      <w:r w:rsidR="00755B17">
        <w:t>.</w:t>
      </w:r>
      <w:r w:rsidR="008C4294">
        <w:t xml:space="preserve"> 25 mrd</w:t>
      </w:r>
      <w:r w:rsidR="00755B17">
        <w:t>.</w:t>
      </w:r>
      <w:r w:rsidR="00FB67C6">
        <w:t xml:space="preserve"> kr for perioden 2021-2027)</w:t>
      </w:r>
      <w:r w:rsidR="4478508B">
        <w:t xml:space="preserve">. </w:t>
      </w:r>
      <w:r w:rsidR="00FB67C6">
        <w:t>Det vil også</w:t>
      </w:r>
      <w:r w:rsidR="78F65AB1">
        <w:t xml:space="preserve"> svekke Norges omstillingsevne og innovasjonskraft</w:t>
      </w:r>
      <w:r w:rsidR="31E41C7B">
        <w:t xml:space="preserve"> ved at norske forskningsinstitutter og samarbeidspartnere i næringsliv og offentlig virksomhet </w:t>
      </w:r>
      <w:r w:rsidR="2292A0B9">
        <w:t xml:space="preserve">vil stå utenfor den viktigste </w:t>
      </w:r>
      <w:r w:rsidR="5F086056">
        <w:t xml:space="preserve">europeiske </w:t>
      </w:r>
      <w:r w:rsidR="2292A0B9">
        <w:t xml:space="preserve">motoren for det grønne </w:t>
      </w:r>
      <w:r w:rsidR="5F086056">
        <w:t xml:space="preserve">og digitale </w:t>
      </w:r>
      <w:r w:rsidR="2292A0B9">
        <w:t>skiftet</w:t>
      </w:r>
      <w:r w:rsidR="5F086056">
        <w:t xml:space="preserve">, </w:t>
      </w:r>
      <w:r w:rsidR="222FA639">
        <w:t xml:space="preserve">EUs forsknings- og innovasjonsprogram </w:t>
      </w:r>
      <w:r w:rsidR="5F086056">
        <w:t>Horisont Europa.</w:t>
      </w:r>
      <w:r w:rsidR="222FA639">
        <w:t xml:space="preserve"> </w:t>
      </w:r>
      <w:r w:rsidR="003B1D15" w:rsidRPr="003B1D15">
        <w:t>Konsekvensene vil være tapte arbeidsplasser, redusert verdiskaping i norsk næringsliv og færre konkrete løsninger som bidrar til å løse utfordringene samfunnet står i.</w:t>
      </w:r>
    </w:p>
    <w:p w14:paraId="1A161FAF" w14:textId="074782F5" w:rsidR="00011F3D" w:rsidRDefault="35FE926B" w:rsidP="00781CCC">
      <w:pPr>
        <w:spacing w:after="0"/>
      </w:pPr>
      <w:r>
        <w:t xml:space="preserve"> </w:t>
      </w:r>
    </w:p>
    <w:p w14:paraId="352DED14" w14:textId="0F8FC8C6" w:rsidR="00781CCC" w:rsidRDefault="00781CCC" w:rsidP="00781CCC">
      <w:pPr>
        <w:spacing w:after="0"/>
      </w:pPr>
      <w:r>
        <w:t>Stortinget må sikre at forskningsaktiviteten i samarbeid med bedrifter, offentlige virksomheter og organisasjoner opprettholdes, så dette ikke får alvorlige negative virkninger for Norge i lang tid.</w:t>
      </w:r>
    </w:p>
    <w:p w14:paraId="1FA4EA68" w14:textId="15DB8199" w:rsidR="00FE207C" w:rsidRDefault="00781CCC">
      <w:r>
        <w:lastRenderedPageBreak/>
        <w:t xml:space="preserve">De prekære klima-, natur- og energiutfordringene venter ikke. Vi må øke trykket på samarbeid nasjonalt og internasjonalt for å finne nye, kloke løsninger. </w:t>
      </w:r>
      <w:r w:rsidR="008807D3">
        <w:t>Det må skje raskt og i samarbeid med ledende internasjonal eks</w:t>
      </w:r>
      <w:r w:rsidR="00B16BF9">
        <w:t>pertise</w:t>
      </w:r>
      <w:r>
        <w:t xml:space="preserve">. </w:t>
      </w:r>
    </w:p>
    <w:p w14:paraId="592DD8F3" w14:textId="2A9134D7" w:rsidR="00EB3A7C" w:rsidRPr="00DF3D39" w:rsidRDefault="00EB3A7C" w:rsidP="00801A6B">
      <w:pPr>
        <w:spacing w:after="0"/>
        <w:rPr>
          <w:b/>
          <w:bCs/>
        </w:rPr>
      </w:pPr>
      <w:r w:rsidRPr="00DF3D39">
        <w:rPr>
          <w:b/>
          <w:bCs/>
        </w:rPr>
        <w:t>Ocean Space Centre (OSC)</w:t>
      </w:r>
      <w:r w:rsidR="00DF3D39" w:rsidRPr="00DF3D39">
        <w:rPr>
          <w:b/>
          <w:bCs/>
        </w:rPr>
        <w:t xml:space="preserve"> må ikke ut</w:t>
      </w:r>
      <w:r w:rsidR="00DF3D39">
        <w:rPr>
          <w:b/>
          <w:bCs/>
        </w:rPr>
        <w:t>settes</w:t>
      </w:r>
    </w:p>
    <w:p w14:paraId="10326950" w14:textId="4EF924D4" w:rsidR="009A0D20" w:rsidRPr="008F2986" w:rsidRDefault="00FE207C" w:rsidP="00801A6B">
      <w:pPr>
        <w:spacing w:after="0"/>
        <w:rPr>
          <w:i/>
          <w:iCs/>
        </w:rPr>
      </w:pPr>
      <w:r w:rsidRPr="004A184F">
        <w:rPr>
          <w:i/>
          <w:iCs/>
        </w:rPr>
        <w:t xml:space="preserve">Kommunal- og </w:t>
      </w:r>
      <w:proofErr w:type="spellStart"/>
      <w:r w:rsidRPr="004A184F">
        <w:rPr>
          <w:i/>
          <w:iCs/>
        </w:rPr>
        <w:t>distriktsdepartementets</w:t>
      </w:r>
      <w:proofErr w:type="spellEnd"/>
      <w:r w:rsidRPr="004A184F">
        <w:rPr>
          <w:i/>
          <w:iCs/>
        </w:rPr>
        <w:t xml:space="preserve"> budsjett kap. 530, post 31 Byggeprosjekter utenfor husleieordningen.</w:t>
      </w:r>
      <w:r w:rsidR="008F2986">
        <w:rPr>
          <w:i/>
          <w:iCs/>
        </w:rPr>
        <w:t xml:space="preserve"> </w:t>
      </w:r>
      <w:r w:rsidR="2B127DB7" w:rsidRPr="008F2986">
        <w:rPr>
          <w:i/>
          <w:iCs/>
        </w:rPr>
        <w:t xml:space="preserve">Regjeringen foreslår å utsette oppstart </w:t>
      </w:r>
      <w:r w:rsidR="3A72DFA7" w:rsidRPr="008F2986">
        <w:rPr>
          <w:i/>
          <w:iCs/>
        </w:rPr>
        <w:t>på OSC byggeprosjekt til senest 2025</w:t>
      </w:r>
      <w:r w:rsidR="19849CF8" w:rsidRPr="008F2986">
        <w:rPr>
          <w:i/>
          <w:iCs/>
        </w:rPr>
        <w:t xml:space="preserve"> og kutte oppstartbevilgningen med 405 mil</w:t>
      </w:r>
      <w:r w:rsidR="00AC0415">
        <w:rPr>
          <w:i/>
          <w:iCs/>
        </w:rPr>
        <w:t>lioner</w:t>
      </w:r>
      <w:r w:rsidR="19849CF8" w:rsidRPr="008F2986">
        <w:rPr>
          <w:i/>
          <w:iCs/>
        </w:rPr>
        <w:t xml:space="preserve"> kr</w:t>
      </w:r>
      <w:r w:rsidR="00AC0415">
        <w:rPr>
          <w:i/>
          <w:iCs/>
        </w:rPr>
        <w:t>oner</w:t>
      </w:r>
      <w:r w:rsidR="19849CF8" w:rsidRPr="008F2986">
        <w:rPr>
          <w:i/>
          <w:iCs/>
        </w:rPr>
        <w:t xml:space="preserve"> i 2022</w:t>
      </w:r>
      <w:r w:rsidR="008F2986">
        <w:rPr>
          <w:i/>
          <w:iCs/>
        </w:rPr>
        <w:t>.</w:t>
      </w:r>
    </w:p>
    <w:p w14:paraId="616FFEFA" w14:textId="77777777" w:rsidR="00466A83" w:rsidRDefault="00466A83" w:rsidP="00801A6B">
      <w:pPr>
        <w:spacing w:after="0"/>
      </w:pPr>
    </w:p>
    <w:p w14:paraId="6C137B49" w14:textId="425BACF8" w:rsidR="00EB3A7C" w:rsidRDefault="004A184F" w:rsidP="00801A6B">
      <w:pPr>
        <w:spacing w:after="0"/>
      </w:pPr>
      <w:r>
        <w:t xml:space="preserve">FFA </w:t>
      </w:r>
      <w:r w:rsidR="00452C0C">
        <w:t>ber Stortinget</w:t>
      </w:r>
      <w:r w:rsidR="00E33E81">
        <w:t xml:space="preserve"> </w:t>
      </w:r>
      <w:r w:rsidR="00035E9F">
        <w:t>avs</w:t>
      </w:r>
      <w:r w:rsidR="000D1BE4">
        <w:t>l</w:t>
      </w:r>
      <w:r w:rsidR="00035E9F">
        <w:t>å</w:t>
      </w:r>
      <w:r w:rsidR="00E33E81">
        <w:t xml:space="preserve"> </w:t>
      </w:r>
      <w:r w:rsidR="001B1D62">
        <w:t>regjeringens forslag</w:t>
      </w:r>
      <w:r w:rsidR="00035E9F">
        <w:t xml:space="preserve"> om utsettelse</w:t>
      </w:r>
      <w:r w:rsidR="00E33E81">
        <w:t xml:space="preserve"> og sikre framdrift og realisering av OSC nå</w:t>
      </w:r>
      <w:r w:rsidR="009A0D20">
        <w:t xml:space="preserve">, med </w:t>
      </w:r>
      <w:r w:rsidR="00466A83">
        <w:t>slik</w:t>
      </w:r>
      <w:r w:rsidR="009A0D20">
        <w:t xml:space="preserve"> begrunnelse:</w:t>
      </w:r>
    </w:p>
    <w:p w14:paraId="20DAA463" w14:textId="1B410C9B" w:rsidR="004A184F" w:rsidRPr="004A184F" w:rsidRDefault="004A184F" w:rsidP="00801A6B">
      <w:pPr>
        <w:pStyle w:val="Listeavsnitt"/>
        <w:numPr>
          <w:ilvl w:val="0"/>
          <w:numId w:val="3"/>
        </w:numPr>
        <w:spacing w:after="0"/>
      </w:pPr>
      <w:r w:rsidRPr="004A184F">
        <w:t xml:space="preserve">Norges posisjon som havnasjon og den norske maritime klyngen står midt i et grønt skifte. </w:t>
      </w:r>
      <w:r w:rsidR="006A0330">
        <w:t>Kunnskapsmiljøene</w:t>
      </w:r>
      <w:r w:rsidRPr="004A184F">
        <w:t xml:space="preserve"> er en avgjørende del av klyngen</w:t>
      </w:r>
      <w:r w:rsidR="00827D84">
        <w:t xml:space="preserve"> og OSC </w:t>
      </w:r>
      <w:r w:rsidR="001F6B40">
        <w:t>vil være motoren i grønn omstilling i norske havnæringer</w:t>
      </w:r>
      <w:r w:rsidRPr="004A184F">
        <w:t>.</w:t>
      </w:r>
    </w:p>
    <w:p w14:paraId="7EE13809" w14:textId="1A99D9B1" w:rsidR="004A184F" w:rsidRPr="004A184F" w:rsidRDefault="005F388C" w:rsidP="00801A6B">
      <w:pPr>
        <w:pStyle w:val="Listeavsnitt"/>
        <w:numPr>
          <w:ilvl w:val="0"/>
          <w:numId w:val="3"/>
        </w:numPr>
        <w:spacing w:after="0"/>
      </w:pPr>
      <w:r>
        <w:t>F</w:t>
      </w:r>
      <w:r w:rsidR="004A184F" w:rsidRPr="004A184F">
        <w:t xml:space="preserve">orslag om å utsette byggingen av Ocean Space Centre slår beina under regjeringens </w:t>
      </w:r>
      <w:r w:rsidRPr="005F388C">
        <w:t>storstilt</w:t>
      </w:r>
      <w:r>
        <w:t>e</w:t>
      </w:r>
      <w:r w:rsidRPr="005F388C">
        <w:t xml:space="preserve"> eksportsatsing der havvind og grønn skipsfart er sentralt</w:t>
      </w:r>
      <w:r w:rsidR="004A184F" w:rsidRPr="004A184F">
        <w:t>.</w:t>
      </w:r>
    </w:p>
    <w:p w14:paraId="212FBBD0" w14:textId="5BBFA812" w:rsidR="004A184F" w:rsidRDefault="004A184F" w:rsidP="00801A6B">
      <w:pPr>
        <w:pStyle w:val="Listeavsnitt"/>
        <w:numPr>
          <w:ilvl w:val="0"/>
          <w:numId w:val="3"/>
        </w:numPr>
        <w:spacing w:after="0"/>
      </w:pPr>
      <w:r w:rsidRPr="004A184F">
        <w:t xml:space="preserve">Prosjektet er i gang og kostnader ved å stoppe prosjektet og gjenstarte det vil langt overstige regjeringens forventninger om innsparing. </w:t>
      </w:r>
    </w:p>
    <w:p w14:paraId="6E670B6B" w14:textId="77777777" w:rsidR="00801A6B" w:rsidRPr="004A184F" w:rsidRDefault="00801A6B" w:rsidP="00801A6B">
      <w:pPr>
        <w:pStyle w:val="Listeavsnitt"/>
        <w:spacing w:after="0"/>
      </w:pPr>
    </w:p>
    <w:p w14:paraId="7FFD2BDF" w14:textId="34BB1CFD" w:rsidR="39ADF160" w:rsidRPr="00440349" w:rsidRDefault="49BE9845" w:rsidP="002E4A46">
      <w:pPr>
        <w:spacing w:after="0"/>
        <w:rPr>
          <w:rFonts w:eastAsiaTheme="minorEastAsia"/>
        </w:rPr>
      </w:pPr>
      <w:r>
        <w:t>FFA har forståelse for r</w:t>
      </w:r>
      <w:r w:rsidR="713AFBE9">
        <w:t xml:space="preserve">egjeringens behov for omprioriteringer i en </w:t>
      </w:r>
      <w:r w:rsidR="307FA1B7">
        <w:t>situasjon med mange og store samfunnsutfordringer som skal løses</w:t>
      </w:r>
      <w:r w:rsidR="713AFBE9">
        <w:t xml:space="preserve">. </w:t>
      </w:r>
      <w:r w:rsidR="00CF2007">
        <w:t>Da er</w:t>
      </w:r>
      <w:r w:rsidR="713AFBE9">
        <w:t xml:space="preserve"> det avgjørende at det ikke kuttes i prosjekter som kan løse noen av de krisene man står i.  Det er nå jobben skal gjøres med å sikre fremtidens arbeidsplasser, verdiskaping</w:t>
      </w:r>
      <w:r w:rsidR="307FA1B7">
        <w:t xml:space="preserve"> og konkurransekraft</w:t>
      </w:r>
      <w:r w:rsidR="713AFBE9">
        <w:t xml:space="preserve"> og kutte utslippene med 55% i 2030 og mot netto null i 2050.</w:t>
      </w:r>
      <w:r w:rsidR="00D536BD">
        <w:t xml:space="preserve"> </w:t>
      </w:r>
      <w:r w:rsidR="713AFBE9">
        <w:t xml:space="preserve">Ocean Space </w:t>
      </w:r>
      <w:r w:rsidR="001A166E">
        <w:t xml:space="preserve">Centre </w:t>
      </w:r>
      <w:r w:rsidR="713AFBE9">
        <w:t xml:space="preserve">er </w:t>
      </w:r>
      <w:r w:rsidR="002E4A46">
        <w:t>viktig for å lykkes</w:t>
      </w:r>
      <w:r w:rsidR="00713793">
        <w:t xml:space="preserve"> </w:t>
      </w:r>
      <w:r w:rsidR="00C476A8">
        <w:t>med den jobben.</w:t>
      </w:r>
    </w:p>
    <w:sectPr w:rsidR="39ADF160" w:rsidRPr="0044034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CD04" w14:textId="77777777" w:rsidR="00A72CE7" w:rsidRDefault="00A72CE7" w:rsidP="00682D28">
      <w:pPr>
        <w:spacing w:after="0" w:line="240" w:lineRule="auto"/>
      </w:pPr>
      <w:r>
        <w:separator/>
      </w:r>
    </w:p>
  </w:endnote>
  <w:endnote w:type="continuationSeparator" w:id="0">
    <w:p w14:paraId="5ECC04E9" w14:textId="77777777" w:rsidR="00A72CE7" w:rsidRDefault="00A72CE7" w:rsidP="0068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627457"/>
      <w:docPartObj>
        <w:docPartGallery w:val="Page Numbers (Bottom of Page)"/>
        <w:docPartUnique/>
      </w:docPartObj>
    </w:sdtPr>
    <w:sdtEndPr/>
    <w:sdtContent>
      <w:p w14:paraId="283FFD04" w14:textId="7EA7F778" w:rsidR="00D11E8A" w:rsidRDefault="00D11E8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CCF122" w14:textId="77777777" w:rsidR="00D11E8A" w:rsidRDefault="00D11E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B3F7" w14:textId="77777777" w:rsidR="00A72CE7" w:rsidRDefault="00A72CE7" w:rsidP="00682D28">
      <w:pPr>
        <w:spacing w:after="0" w:line="240" w:lineRule="auto"/>
      </w:pPr>
      <w:r>
        <w:separator/>
      </w:r>
    </w:p>
  </w:footnote>
  <w:footnote w:type="continuationSeparator" w:id="0">
    <w:p w14:paraId="782715C4" w14:textId="77777777" w:rsidR="00A72CE7" w:rsidRDefault="00A72CE7" w:rsidP="00682D28">
      <w:pPr>
        <w:spacing w:after="0" w:line="240" w:lineRule="auto"/>
      </w:pPr>
      <w:r>
        <w:continuationSeparator/>
      </w:r>
    </w:p>
  </w:footnote>
  <w:footnote w:id="1">
    <w:p w14:paraId="6AFBFCB6" w14:textId="15639416" w:rsidR="00100057" w:rsidRDefault="0010005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A24E5B" w:rsidRPr="00A24E5B">
        <w:rPr>
          <w:i/>
          <w:iCs/>
        </w:rPr>
        <w:t>Vurdering av Forskningsrådets praksis mht. bruk av avsetninger sett opp mot økonomiregelverket og bevilgningsreglementet</w:t>
      </w:r>
      <w:r w:rsidR="00206D21">
        <w:t xml:space="preserve">, </w:t>
      </w:r>
      <w:r w:rsidR="00A24E5B" w:rsidRPr="00A24E5B">
        <w:t>Notat fra DFØ til KD</w:t>
      </w:r>
      <w:r w:rsidR="00206D21">
        <w:t xml:space="preserve"> </w:t>
      </w:r>
      <w:r w:rsidR="00A24E5B">
        <w:t>2</w:t>
      </w:r>
      <w:r w:rsidR="00206D21">
        <w:t>2.2.2022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F02"/>
    <w:multiLevelType w:val="hybridMultilevel"/>
    <w:tmpl w:val="2B3ABC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8176F"/>
    <w:multiLevelType w:val="hybridMultilevel"/>
    <w:tmpl w:val="278A53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659EE"/>
    <w:multiLevelType w:val="hybridMultilevel"/>
    <w:tmpl w:val="90885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3E9B"/>
    <w:multiLevelType w:val="hybridMultilevel"/>
    <w:tmpl w:val="0ACA546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C6E90"/>
    <w:multiLevelType w:val="hybridMultilevel"/>
    <w:tmpl w:val="28A82074"/>
    <w:lvl w:ilvl="0" w:tplc="09D81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F51E1"/>
    <w:multiLevelType w:val="hybridMultilevel"/>
    <w:tmpl w:val="74AA2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8357">
    <w:abstractNumId w:val="3"/>
  </w:num>
  <w:num w:numId="2" w16cid:durableId="1417552788">
    <w:abstractNumId w:val="4"/>
  </w:num>
  <w:num w:numId="3" w16cid:durableId="1768691187">
    <w:abstractNumId w:val="2"/>
  </w:num>
  <w:num w:numId="4" w16cid:durableId="100612515">
    <w:abstractNumId w:val="0"/>
  </w:num>
  <w:num w:numId="5" w16cid:durableId="1056003249">
    <w:abstractNumId w:val="1"/>
  </w:num>
  <w:num w:numId="6" w16cid:durableId="782846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E2"/>
    <w:rsid w:val="000015EA"/>
    <w:rsid w:val="00011F3D"/>
    <w:rsid w:val="00014AB9"/>
    <w:rsid w:val="00015966"/>
    <w:rsid w:val="0001712C"/>
    <w:rsid w:val="00034CE2"/>
    <w:rsid w:val="00035E9F"/>
    <w:rsid w:val="00035EBF"/>
    <w:rsid w:val="000370DD"/>
    <w:rsid w:val="00057FF3"/>
    <w:rsid w:val="00060D26"/>
    <w:rsid w:val="0006615A"/>
    <w:rsid w:val="00067F4E"/>
    <w:rsid w:val="000A05D3"/>
    <w:rsid w:val="000A0CFB"/>
    <w:rsid w:val="000A120D"/>
    <w:rsid w:val="000A1A4A"/>
    <w:rsid w:val="000A1ADC"/>
    <w:rsid w:val="000A2826"/>
    <w:rsid w:val="000A50EC"/>
    <w:rsid w:val="000A7486"/>
    <w:rsid w:val="000C2E07"/>
    <w:rsid w:val="000C78CA"/>
    <w:rsid w:val="000D1BE4"/>
    <w:rsid w:val="000E5702"/>
    <w:rsid w:val="000E5EEF"/>
    <w:rsid w:val="000E710F"/>
    <w:rsid w:val="00100057"/>
    <w:rsid w:val="0010033A"/>
    <w:rsid w:val="00100927"/>
    <w:rsid w:val="001040A4"/>
    <w:rsid w:val="00104E2E"/>
    <w:rsid w:val="00112D0C"/>
    <w:rsid w:val="00113086"/>
    <w:rsid w:val="00117DA7"/>
    <w:rsid w:val="00122DBE"/>
    <w:rsid w:val="001359C2"/>
    <w:rsid w:val="0015274C"/>
    <w:rsid w:val="00152FB4"/>
    <w:rsid w:val="00161D2E"/>
    <w:rsid w:val="001645BB"/>
    <w:rsid w:val="00165285"/>
    <w:rsid w:val="00167540"/>
    <w:rsid w:val="00191D77"/>
    <w:rsid w:val="001A07E8"/>
    <w:rsid w:val="001A166E"/>
    <w:rsid w:val="001A4C7C"/>
    <w:rsid w:val="001B1D62"/>
    <w:rsid w:val="001B3197"/>
    <w:rsid w:val="001B716E"/>
    <w:rsid w:val="001C5CED"/>
    <w:rsid w:val="001C7240"/>
    <w:rsid w:val="001D4D9C"/>
    <w:rsid w:val="001D5487"/>
    <w:rsid w:val="001D59D4"/>
    <w:rsid w:val="001D7BB3"/>
    <w:rsid w:val="001E0509"/>
    <w:rsid w:val="001F42DD"/>
    <w:rsid w:val="001F59AB"/>
    <w:rsid w:val="001F6B40"/>
    <w:rsid w:val="00206D21"/>
    <w:rsid w:val="00220B2D"/>
    <w:rsid w:val="00222DC9"/>
    <w:rsid w:val="00223BCF"/>
    <w:rsid w:val="0023228D"/>
    <w:rsid w:val="00232DE7"/>
    <w:rsid w:val="00245EBC"/>
    <w:rsid w:val="002607D1"/>
    <w:rsid w:val="002701A5"/>
    <w:rsid w:val="00271457"/>
    <w:rsid w:val="00276127"/>
    <w:rsid w:val="002A158E"/>
    <w:rsid w:val="002B224A"/>
    <w:rsid w:val="002B2673"/>
    <w:rsid w:val="002B28A2"/>
    <w:rsid w:val="002B5BB9"/>
    <w:rsid w:val="002B7BD7"/>
    <w:rsid w:val="002C58AD"/>
    <w:rsid w:val="002C7F83"/>
    <w:rsid w:val="002D28D0"/>
    <w:rsid w:val="002D7CFD"/>
    <w:rsid w:val="002E4A46"/>
    <w:rsid w:val="002F0A0F"/>
    <w:rsid w:val="002F0CB6"/>
    <w:rsid w:val="002F3262"/>
    <w:rsid w:val="00302D49"/>
    <w:rsid w:val="0030767E"/>
    <w:rsid w:val="00317D12"/>
    <w:rsid w:val="003230EE"/>
    <w:rsid w:val="003316BB"/>
    <w:rsid w:val="003331C8"/>
    <w:rsid w:val="0033454E"/>
    <w:rsid w:val="003364DF"/>
    <w:rsid w:val="00337018"/>
    <w:rsid w:val="00337E9D"/>
    <w:rsid w:val="00344ED3"/>
    <w:rsid w:val="0035183E"/>
    <w:rsid w:val="00366766"/>
    <w:rsid w:val="00373D68"/>
    <w:rsid w:val="00375490"/>
    <w:rsid w:val="00381485"/>
    <w:rsid w:val="00385BCE"/>
    <w:rsid w:val="00396003"/>
    <w:rsid w:val="003A420D"/>
    <w:rsid w:val="003B1D15"/>
    <w:rsid w:val="003C2BBC"/>
    <w:rsid w:val="003C4718"/>
    <w:rsid w:val="003D7B9F"/>
    <w:rsid w:val="003F6E7C"/>
    <w:rsid w:val="004123DE"/>
    <w:rsid w:val="00413B19"/>
    <w:rsid w:val="00416ACB"/>
    <w:rsid w:val="00417A6F"/>
    <w:rsid w:val="004227D7"/>
    <w:rsid w:val="00423E0E"/>
    <w:rsid w:val="0042551D"/>
    <w:rsid w:val="00425D4A"/>
    <w:rsid w:val="004377D9"/>
    <w:rsid w:val="00440349"/>
    <w:rsid w:val="00442750"/>
    <w:rsid w:val="004462C7"/>
    <w:rsid w:val="00452C0C"/>
    <w:rsid w:val="004541DF"/>
    <w:rsid w:val="004568F6"/>
    <w:rsid w:val="0046440C"/>
    <w:rsid w:val="00466A83"/>
    <w:rsid w:val="00475779"/>
    <w:rsid w:val="00477C89"/>
    <w:rsid w:val="004906BB"/>
    <w:rsid w:val="00492742"/>
    <w:rsid w:val="00493074"/>
    <w:rsid w:val="004A184F"/>
    <w:rsid w:val="004A3472"/>
    <w:rsid w:val="004B3EA6"/>
    <w:rsid w:val="004B63A2"/>
    <w:rsid w:val="004B7DBC"/>
    <w:rsid w:val="004C01CA"/>
    <w:rsid w:val="004C0C2D"/>
    <w:rsid w:val="004C5E52"/>
    <w:rsid w:val="004C67A9"/>
    <w:rsid w:val="004E047D"/>
    <w:rsid w:val="004F3C76"/>
    <w:rsid w:val="004F59BF"/>
    <w:rsid w:val="0050067D"/>
    <w:rsid w:val="005170B7"/>
    <w:rsid w:val="00521379"/>
    <w:rsid w:val="005221E3"/>
    <w:rsid w:val="00523850"/>
    <w:rsid w:val="00525113"/>
    <w:rsid w:val="00525D9E"/>
    <w:rsid w:val="0053087D"/>
    <w:rsid w:val="005345BA"/>
    <w:rsid w:val="00540DC1"/>
    <w:rsid w:val="00552067"/>
    <w:rsid w:val="00555305"/>
    <w:rsid w:val="00557995"/>
    <w:rsid w:val="00562BAE"/>
    <w:rsid w:val="0056643D"/>
    <w:rsid w:val="005737D6"/>
    <w:rsid w:val="00584C0E"/>
    <w:rsid w:val="005A1978"/>
    <w:rsid w:val="005C47B4"/>
    <w:rsid w:val="005D66DB"/>
    <w:rsid w:val="005E1FE8"/>
    <w:rsid w:val="005E3C41"/>
    <w:rsid w:val="005F224D"/>
    <w:rsid w:val="005F388C"/>
    <w:rsid w:val="005F4032"/>
    <w:rsid w:val="005F790E"/>
    <w:rsid w:val="00613BE3"/>
    <w:rsid w:val="00615E45"/>
    <w:rsid w:val="0063538C"/>
    <w:rsid w:val="00643768"/>
    <w:rsid w:val="00647C63"/>
    <w:rsid w:val="00650B74"/>
    <w:rsid w:val="006602F1"/>
    <w:rsid w:val="006705EA"/>
    <w:rsid w:val="00682D28"/>
    <w:rsid w:val="00684FD5"/>
    <w:rsid w:val="00686AB2"/>
    <w:rsid w:val="0069123D"/>
    <w:rsid w:val="006A0330"/>
    <w:rsid w:val="006A3DF2"/>
    <w:rsid w:val="006A6A82"/>
    <w:rsid w:val="006C41FC"/>
    <w:rsid w:val="006C7211"/>
    <w:rsid w:val="006E0AC7"/>
    <w:rsid w:val="006E3EA6"/>
    <w:rsid w:val="006E7922"/>
    <w:rsid w:val="006E7DCB"/>
    <w:rsid w:val="006F03F5"/>
    <w:rsid w:val="006F15DF"/>
    <w:rsid w:val="006F5AAE"/>
    <w:rsid w:val="006F6623"/>
    <w:rsid w:val="00710BC3"/>
    <w:rsid w:val="00713793"/>
    <w:rsid w:val="00720320"/>
    <w:rsid w:val="007263EE"/>
    <w:rsid w:val="00741E9B"/>
    <w:rsid w:val="00742743"/>
    <w:rsid w:val="007454EF"/>
    <w:rsid w:val="00755B17"/>
    <w:rsid w:val="00756998"/>
    <w:rsid w:val="007572BF"/>
    <w:rsid w:val="00763EA2"/>
    <w:rsid w:val="007706B0"/>
    <w:rsid w:val="00771594"/>
    <w:rsid w:val="007756D4"/>
    <w:rsid w:val="007772F0"/>
    <w:rsid w:val="00781CCC"/>
    <w:rsid w:val="007824C7"/>
    <w:rsid w:val="00793268"/>
    <w:rsid w:val="0079550C"/>
    <w:rsid w:val="007978C4"/>
    <w:rsid w:val="007B2435"/>
    <w:rsid w:val="007B4739"/>
    <w:rsid w:val="007C0575"/>
    <w:rsid w:val="007C062B"/>
    <w:rsid w:val="007C27D5"/>
    <w:rsid w:val="007C3B0E"/>
    <w:rsid w:val="007C6626"/>
    <w:rsid w:val="007D160A"/>
    <w:rsid w:val="007D5012"/>
    <w:rsid w:val="007D6FA0"/>
    <w:rsid w:val="007E28F2"/>
    <w:rsid w:val="007E2D99"/>
    <w:rsid w:val="007F3D7C"/>
    <w:rsid w:val="00801A6B"/>
    <w:rsid w:val="00827D84"/>
    <w:rsid w:val="008324C4"/>
    <w:rsid w:val="00837933"/>
    <w:rsid w:val="00856FDE"/>
    <w:rsid w:val="00861BB8"/>
    <w:rsid w:val="00865C49"/>
    <w:rsid w:val="0087240F"/>
    <w:rsid w:val="00873D36"/>
    <w:rsid w:val="00877429"/>
    <w:rsid w:val="008778BB"/>
    <w:rsid w:val="008807D3"/>
    <w:rsid w:val="00882981"/>
    <w:rsid w:val="00884F90"/>
    <w:rsid w:val="00891E97"/>
    <w:rsid w:val="00893931"/>
    <w:rsid w:val="008A250E"/>
    <w:rsid w:val="008A4A2D"/>
    <w:rsid w:val="008A5245"/>
    <w:rsid w:val="008B3500"/>
    <w:rsid w:val="008C4294"/>
    <w:rsid w:val="008D4B7F"/>
    <w:rsid w:val="008E2E90"/>
    <w:rsid w:val="008F1822"/>
    <w:rsid w:val="008F2986"/>
    <w:rsid w:val="008F4191"/>
    <w:rsid w:val="009040E9"/>
    <w:rsid w:val="009260E4"/>
    <w:rsid w:val="009263CF"/>
    <w:rsid w:val="009335B2"/>
    <w:rsid w:val="009358E9"/>
    <w:rsid w:val="00936A7B"/>
    <w:rsid w:val="00942A9B"/>
    <w:rsid w:val="00942D22"/>
    <w:rsid w:val="009432C7"/>
    <w:rsid w:val="00946487"/>
    <w:rsid w:val="00961AFB"/>
    <w:rsid w:val="00967F06"/>
    <w:rsid w:val="009751FD"/>
    <w:rsid w:val="00975676"/>
    <w:rsid w:val="009756F6"/>
    <w:rsid w:val="00975A97"/>
    <w:rsid w:val="009A0D20"/>
    <w:rsid w:val="009A0EC9"/>
    <w:rsid w:val="009A75D5"/>
    <w:rsid w:val="009B102F"/>
    <w:rsid w:val="009B1D4D"/>
    <w:rsid w:val="009B3E68"/>
    <w:rsid w:val="009C3AEE"/>
    <w:rsid w:val="009C4FB1"/>
    <w:rsid w:val="009C5C07"/>
    <w:rsid w:val="009C7ED2"/>
    <w:rsid w:val="009D7480"/>
    <w:rsid w:val="009E00FF"/>
    <w:rsid w:val="009F2807"/>
    <w:rsid w:val="009F7703"/>
    <w:rsid w:val="00A11C4D"/>
    <w:rsid w:val="00A11FFC"/>
    <w:rsid w:val="00A137FE"/>
    <w:rsid w:val="00A1729B"/>
    <w:rsid w:val="00A2332A"/>
    <w:rsid w:val="00A24E5B"/>
    <w:rsid w:val="00A34AD7"/>
    <w:rsid w:val="00A4443B"/>
    <w:rsid w:val="00A53C1A"/>
    <w:rsid w:val="00A62874"/>
    <w:rsid w:val="00A62A43"/>
    <w:rsid w:val="00A62C09"/>
    <w:rsid w:val="00A65A3F"/>
    <w:rsid w:val="00A66C6B"/>
    <w:rsid w:val="00A67E9D"/>
    <w:rsid w:val="00A72CE7"/>
    <w:rsid w:val="00A76508"/>
    <w:rsid w:val="00A84B4D"/>
    <w:rsid w:val="00A9681C"/>
    <w:rsid w:val="00AA62C6"/>
    <w:rsid w:val="00AA7A70"/>
    <w:rsid w:val="00AC0415"/>
    <w:rsid w:val="00AC52D1"/>
    <w:rsid w:val="00AD06B5"/>
    <w:rsid w:val="00AD725F"/>
    <w:rsid w:val="00AF138C"/>
    <w:rsid w:val="00B02595"/>
    <w:rsid w:val="00B06D53"/>
    <w:rsid w:val="00B16BF9"/>
    <w:rsid w:val="00B2459D"/>
    <w:rsid w:val="00B4056C"/>
    <w:rsid w:val="00B44FCD"/>
    <w:rsid w:val="00B60DC3"/>
    <w:rsid w:val="00B67011"/>
    <w:rsid w:val="00B7731B"/>
    <w:rsid w:val="00B83F6D"/>
    <w:rsid w:val="00B851E5"/>
    <w:rsid w:val="00B85A4E"/>
    <w:rsid w:val="00B90F8D"/>
    <w:rsid w:val="00B940D3"/>
    <w:rsid w:val="00B965F9"/>
    <w:rsid w:val="00BA0713"/>
    <w:rsid w:val="00BA5B03"/>
    <w:rsid w:val="00BA6A37"/>
    <w:rsid w:val="00BB12B8"/>
    <w:rsid w:val="00BD14A7"/>
    <w:rsid w:val="00BD4AD3"/>
    <w:rsid w:val="00BD5517"/>
    <w:rsid w:val="00BE74AE"/>
    <w:rsid w:val="00BF0755"/>
    <w:rsid w:val="00C028E0"/>
    <w:rsid w:val="00C1040D"/>
    <w:rsid w:val="00C22C3C"/>
    <w:rsid w:val="00C22D80"/>
    <w:rsid w:val="00C2545A"/>
    <w:rsid w:val="00C2678F"/>
    <w:rsid w:val="00C26FDB"/>
    <w:rsid w:val="00C368C2"/>
    <w:rsid w:val="00C47652"/>
    <w:rsid w:val="00C476A8"/>
    <w:rsid w:val="00C5500F"/>
    <w:rsid w:val="00C71158"/>
    <w:rsid w:val="00C75A1D"/>
    <w:rsid w:val="00C7732C"/>
    <w:rsid w:val="00C94C23"/>
    <w:rsid w:val="00CA1FFD"/>
    <w:rsid w:val="00CB0455"/>
    <w:rsid w:val="00CB1C93"/>
    <w:rsid w:val="00CB4FA9"/>
    <w:rsid w:val="00CC063B"/>
    <w:rsid w:val="00CC4466"/>
    <w:rsid w:val="00CD10CE"/>
    <w:rsid w:val="00CE11D6"/>
    <w:rsid w:val="00CF2007"/>
    <w:rsid w:val="00CF2827"/>
    <w:rsid w:val="00CF5F36"/>
    <w:rsid w:val="00D0351D"/>
    <w:rsid w:val="00D11E8A"/>
    <w:rsid w:val="00D176B5"/>
    <w:rsid w:val="00D30A7B"/>
    <w:rsid w:val="00D30FE0"/>
    <w:rsid w:val="00D45C0C"/>
    <w:rsid w:val="00D536BD"/>
    <w:rsid w:val="00D55F9D"/>
    <w:rsid w:val="00D56B8D"/>
    <w:rsid w:val="00D61184"/>
    <w:rsid w:val="00D64E8F"/>
    <w:rsid w:val="00DA06C1"/>
    <w:rsid w:val="00DA7C94"/>
    <w:rsid w:val="00DB4AD3"/>
    <w:rsid w:val="00DC5947"/>
    <w:rsid w:val="00DD09A9"/>
    <w:rsid w:val="00DE3DFD"/>
    <w:rsid w:val="00DF0FCF"/>
    <w:rsid w:val="00DF3D39"/>
    <w:rsid w:val="00E0346C"/>
    <w:rsid w:val="00E034A2"/>
    <w:rsid w:val="00E3160C"/>
    <w:rsid w:val="00E3387E"/>
    <w:rsid w:val="00E338D6"/>
    <w:rsid w:val="00E33E81"/>
    <w:rsid w:val="00E37A9F"/>
    <w:rsid w:val="00E40CD7"/>
    <w:rsid w:val="00E41CEC"/>
    <w:rsid w:val="00E43EAB"/>
    <w:rsid w:val="00E5318B"/>
    <w:rsid w:val="00E645F4"/>
    <w:rsid w:val="00E73817"/>
    <w:rsid w:val="00E740A9"/>
    <w:rsid w:val="00E86828"/>
    <w:rsid w:val="00EB3A7C"/>
    <w:rsid w:val="00EB56B4"/>
    <w:rsid w:val="00EC2120"/>
    <w:rsid w:val="00EC3D4D"/>
    <w:rsid w:val="00EE19B3"/>
    <w:rsid w:val="00EE5F5E"/>
    <w:rsid w:val="00EF09B9"/>
    <w:rsid w:val="00F00182"/>
    <w:rsid w:val="00F01B0E"/>
    <w:rsid w:val="00F0239E"/>
    <w:rsid w:val="00F05073"/>
    <w:rsid w:val="00F1581C"/>
    <w:rsid w:val="00F23027"/>
    <w:rsid w:val="00F245D6"/>
    <w:rsid w:val="00F24A8F"/>
    <w:rsid w:val="00F32D9C"/>
    <w:rsid w:val="00F46924"/>
    <w:rsid w:val="00F7795A"/>
    <w:rsid w:val="00F82DFC"/>
    <w:rsid w:val="00F836B9"/>
    <w:rsid w:val="00F9557F"/>
    <w:rsid w:val="00F97E18"/>
    <w:rsid w:val="00FB0E1D"/>
    <w:rsid w:val="00FB4000"/>
    <w:rsid w:val="00FB4F58"/>
    <w:rsid w:val="00FB5414"/>
    <w:rsid w:val="00FB67C6"/>
    <w:rsid w:val="00FD54A6"/>
    <w:rsid w:val="00FE207C"/>
    <w:rsid w:val="00FE3DC7"/>
    <w:rsid w:val="00FE6BF4"/>
    <w:rsid w:val="00FF7040"/>
    <w:rsid w:val="0452EECF"/>
    <w:rsid w:val="056493B9"/>
    <w:rsid w:val="06042D3D"/>
    <w:rsid w:val="0697F163"/>
    <w:rsid w:val="06B67D10"/>
    <w:rsid w:val="06BBE2B9"/>
    <w:rsid w:val="07AAAC3D"/>
    <w:rsid w:val="0833C1C4"/>
    <w:rsid w:val="08753932"/>
    <w:rsid w:val="089CACE6"/>
    <w:rsid w:val="09650644"/>
    <w:rsid w:val="09CF9225"/>
    <w:rsid w:val="0E3E7FA5"/>
    <w:rsid w:val="0F3945DD"/>
    <w:rsid w:val="103ED3A9"/>
    <w:rsid w:val="1046C12F"/>
    <w:rsid w:val="10D5163E"/>
    <w:rsid w:val="1195DB25"/>
    <w:rsid w:val="11C96933"/>
    <w:rsid w:val="12D02BBD"/>
    <w:rsid w:val="137E61F1"/>
    <w:rsid w:val="13C1052B"/>
    <w:rsid w:val="1446E768"/>
    <w:rsid w:val="14F065F4"/>
    <w:rsid w:val="15799DAC"/>
    <w:rsid w:val="15B76458"/>
    <w:rsid w:val="1624936C"/>
    <w:rsid w:val="16B602B3"/>
    <w:rsid w:val="16CCA0DA"/>
    <w:rsid w:val="170A2258"/>
    <w:rsid w:val="18032FAD"/>
    <w:rsid w:val="180C7A83"/>
    <w:rsid w:val="181CE80C"/>
    <w:rsid w:val="1851D314"/>
    <w:rsid w:val="185A9413"/>
    <w:rsid w:val="1894764E"/>
    <w:rsid w:val="18DC4391"/>
    <w:rsid w:val="19849CF8"/>
    <w:rsid w:val="19EDA375"/>
    <w:rsid w:val="1B4AC102"/>
    <w:rsid w:val="1BCC1710"/>
    <w:rsid w:val="1CC81038"/>
    <w:rsid w:val="1D67E771"/>
    <w:rsid w:val="1FACEA05"/>
    <w:rsid w:val="205CE4F9"/>
    <w:rsid w:val="207B70A6"/>
    <w:rsid w:val="209F8833"/>
    <w:rsid w:val="21F8B55A"/>
    <w:rsid w:val="222FA639"/>
    <w:rsid w:val="2292A0B9"/>
    <w:rsid w:val="254EE1C9"/>
    <w:rsid w:val="269945C1"/>
    <w:rsid w:val="270EC9B7"/>
    <w:rsid w:val="270FF4F7"/>
    <w:rsid w:val="274F99BB"/>
    <w:rsid w:val="2A9C84AF"/>
    <w:rsid w:val="2B127DB7"/>
    <w:rsid w:val="2C092483"/>
    <w:rsid w:val="2C44B72C"/>
    <w:rsid w:val="2DB08D3A"/>
    <w:rsid w:val="2E58A5D1"/>
    <w:rsid w:val="2EA303F7"/>
    <w:rsid w:val="2F5B2151"/>
    <w:rsid w:val="2F632F91"/>
    <w:rsid w:val="307FA1B7"/>
    <w:rsid w:val="31034F95"/>
    <w:rsid w:val="31CF23E1"/>
    <w:rsid w:val="31E41C7B"/>
    <w:rsid w:val="32F234B9"/>
    <w:rsid w:val="33A8E998"/>
    <w:rsid w:val="348E051A"/>
    <w:rsid w:val="35FE926B"/>
    <w:rsid w:val="36B065AA"/>
    <w:rsid w:val="376D4557"/>
    <w:rsid w:val="37FF8817"/>
    <w:rsid w:val="3846DCE6"/>
    <w:rsid w:val="39ADF160"/>
    <w:rsid w:val="3A72DFA7"/>
    <w:rsid w:val="3B13114C"/>
    <w:rsid w:val="3B3728D9"/>
    <w:rsid w:val="3B3EDFDE"/>
    <w:rsid w:val="3C1A6F7B"/>
    <w:rsid w:val="3CAEE1AD"/>
    <w:rsid w:val="3EAD4B3B"/>
    <w:rsid w:val="403CEB4A"/>
    <w:rsid w:val="40E939D6"/>
    <w:rsid w:val="42B8E1A3"/>
    <w:rsid w:val="43AD32BF"/>
    <w:rsid w:val="4478508B"/>
    <w:rsid w:val="44E5F8A5"/>
    <w:rsid w:val="46FE9BAA"/>
    <w:rsid w:val="478C52C6"/>
    <w:rsid w:val="481D9967"/>
    <w:rsid w:val="49282327"/>
    <w:rsid w:val="49BE9845"/>
    <w:rsid w:val="4BF924ED"/>
    <w:rsid w:val="4DB8C86A"/>
    <w:rsid w:val="4E10658E"/>
    <w:rsid w:val="4F487125"/>
    <w:rsid w:val="4F81C61E"/>
    <w:rsid w:val="4F96688C"/>
    <w:rsid w:val="51C001FA"/>
    <w:rsid w:val="5204E5FD"/>
    <w:rsid w:val="52C7D804"/>
    <w:rsid w:val="533CE17C"/>
    <w:rsid w:val="558C2645"/>
    <w:rsid w:val="564976F3"/>
    <w:rsid w:val="57BFE95C"/>
    <w:rsid w:val="596FA74F"/>
    <w:rsid w:val="5A18E187"/>
    <w:rsid w:val="5A4E5C91"/>
    <w:rsid w:val="5A7E2315"/>
    <w:rsid w:val="5A88680D"/>
    <w:rsid w:val="5BEA2CF2"/>
    <w:rsid w:val="5F086056"/>
    <w:rsid w:val="63A10F7A"/>
    <w:rsid w:val="63F53ED7"/>
    <w:rsid w:val="65C8C342"/>
    <w:rsid w:val="672CDF99"/>
    <w:rsid w:val="6AC802F7"/>
    <w:rsid w:val="6AF7A486"/>
    <w:rsid w:val="6DAA9929"/>
    <w:rsid w:val="6E0A5A81"/>
    <w:rsid w:val="6EDE3C97"/>
    <w:rsid w:val="6F973E15"/>
    <w:rsid w:val="6FD199FA"/>
    <w:rsid w:val="713AFBE9"/>
    <w:rsid w:val="7163130D"/>
    <w:rsid w:val="74135027"/>
    <w:rsid w:val="74A6681F"/>
    <w:rsid w:val="75AF2088"/>
    <w:rsid w:val="76810B52"/>
    <w:rsid w:val="7681CD98"/>
    <w:rsid w:val="7785A69D"/>
    <w:rsid w:val="77A0348E"/>
    <w:rsid w:val="77DB4974"/>
    <w:rsid w:val="78F65AB1"/>
    <w:rsid w:val="79DB8005"/>
    <w:rsid w:val="7BC21D30"/>
    <w:rsid w:val="7C784E2B"/>
    <w:rsid w:val="7DCB53FB"/>
    <w:rsid w:val="7ED51305"/>
    <w:rsid w:val="7F129C75"/>
    <w:rsid w:val="7F1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2D029"/>
  <w15:chartTrackingRefBased/>
  <w15:docId w15:val="{ABEDE1C1-2488-4E57-8F83-4ECB896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4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7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B1C93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DA7C94"/>
  </w:style>
  <w:style w:type="character" w:customStyle="1" w:styleId="Overskrift2Tegn">
    <w:name w:val="Overskrift 2 Tegn"/>
    <w:basedOn w:val="Standardskriftforavsnitt"/>
    <w:link w:val="Overskrift2"/>
    <w:uiPriority w:val="9"/>
    <w:rsid w:val="00967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1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1E8A"/>
  </w:style>
  <w:style w:type="paragraph" w:styleId="Bunntekst">
    <w:name w:val="footer"/>
    <w:basedOn w:val="Normal"/>
    <w:link w:val="BunntekstTegn"/>
    <w:uiPriority w:val="99"/>
    <w:unhideWhenUsed/>
    <w:rsid w:val="00D1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1E8A"/>
  </w:style>
  <w:style w:type="paragraph" w:styleId="Revisjon">
    <w:name w:val="Revision"/>
    <w:hidden/>
    <w:uiPriority w:val="99"/>
    <w:semiHidden/>
    <w:rsid w:val="000A2826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6A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6A7B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0005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0005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00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A34F4C79FA428BC519AE4048AA13" ma:contentTypeVersion="8" ma:contentTypeDescription="Create a new document." ma:contentTypeScope="" ma:versionID="168e73b8578c12822db52f895ac4bfba">
  <xsd:schema xmlns:xsd="http://www.w3.org/2001/XMLSchema" xmlns:xs="http://www.w3.org/2001/XMLSchema" xmlns:p="http://schemas.microsoft.com/office/2006/metadata/properties" xmlns:ns2="f37109e4-69a3-4136-8bc1-fb9f9dbe3f03" xmlns:ns3="5ac53dbc-cf76-49a2-80ae-863803a1cbd9" targetNamespace="http://schemas.microsoft.com/office/2006/metadata/properties" ma:root="true" ma:fieldsID="79c0f96e74fee911dbfd2a6a2f513b14" ns2:_="" ns3:_="">
    <xsd:import namespace="f37109e4-69a3-4136-8bc1-fb9f9dbe3f03"/>
    <xsd:import namespace="5ac53dbc-cf76-49a2-80ae-863803a1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8F2C7-2F44-4CAE-99FC-AE57CBCA5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A1BB4-1A64-4579-AE23-BF7BCB6A85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C089E92-05E0-45EE-B360-33B7AE52D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09e4-69a3-4136-8bc1-fb9f9dbe3f03"/>
    <ds:schemaRef ds:uri="5ac53dbc-cf76-49a2-80ae-863803a1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F985A-D64D-482F-AE76-90210D3C7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698311-7FE9-4935-ACFE-BE3420070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1964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Landstad</dc:creator>
  <cp:keywords/>
  <dc:description/>
  <cp:lastModifiedBy>Agnes Landstad</cp:lastModifiedBy>
  <cp:revision>109</cp:revision>
  <cp:lastPrinted>2022-05-20T12:39:00Z</cp:lastPrinted>
  <dcterms:created xsi:type="dcterms:W3CDTF">2022-05-19T06:49:00Z</dcterms:created>
  <dcterms:modified xsi:type="dcterms:W3CDTF">2022-05-20T12:39:00Z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0x010100DAD5A34F4C79FA428BC519AE4048AA13</vt:lpwstr>
  </property>
</Properties>
</file>